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gwek"/>
        <w:spacing w:lineRule="auto" w:line="360"/>
        <w:jc w:val="center"/>
        <w:rPr>
          <w:sz w:val="24"/>
          <w:szCs w:val="24"/>
        </w:rPr>
      </w:pPr>
      <w:r>
        <w:rPr>
          <w:rFonts w:ascii="Times New Roman" w:hAnsi="Times New Roman"/>
          <w:sz w:val="24"/>
          <w:szCs w:val="24"/>
        </w:rPr>
        <w:t>Protokół Nr 2</w:t>
      </w:r>
      <w:r>
        <w:rPr>
          <w:rFonts w:ascii="Times New Roman" w:hAnsi="Times New Roman"/>
          <w:sz w:val="24"/>
          <w:szCs w:val="24"/>
        </w:rPr>
        <w:t>9</w:t>
      </w:r>
      <w:r>
        <w:rPr>
          <w:rFonts w:ascii="Times New Roman" w:hAnsi="Times New Roman"/>
          <w:sz w:val="24"/>
          <w:szCs w:val="24"/>
        </w:rPr>
        <w:t>/22</w:t>
      </w:r>
      <w:r>
        <w:rPr>
          <w:rFonts w:eastAsia="Times New Roman" w:cs="Times New Roman" w:ascii="Times New Roman" w:hAnsi="Times New Roman"/>
          <w:sz w:val="24"/>
          <w:szCs w:val="24"/>
        </w:rPr>
        <w:br/>
      </w:r>
      <w:r>
        <w:rPr>
          <w:rFonts w:ascii="Times New Roman" w:hAnsi="Times New Roman"/>
          <w:sz w:val="24"/>
          <w:szCs w:val="24"/>
        </w:rPr>
        <w:t xml:space="preserve">Komisji Rolnictwa, Rozwoju Gospodarczego, Kultury i Sportu Rady Gminy Miastkowo </w:t>
      </w:r>
    </w:p>
    <w:p>
      <w:pPr>
        <w:pStyle w:val="Nagwek"/>
        <w:spacing w:lineRule="auto" w:line="360"/>
        <w:jc w:val="center"/>
        <w:rPr>
          <w:sz w:val="24"/>
          <w:szCs w:val="24"/>
        </w:rPr>
      </w:pPr>
      <w:r>
        <w:rPr>
          <w:rFonts w:ascii="Times New Roman" w:hAnsi="Times New Roman"/>
          <w:sz w:val="24"/>
          <w:szCs w:val="24"/>
        </w:rPr>
        <w:t xml:space="preserve">z dnia 30 września 2022 r. </w:t>
      </w:r>
    </w:p>
    <w:p>
      <w:pPr>
        <w:pStyle w:val="Domylne"/>
        <w:bidi w:val="0"/>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r>
      <w:r>
        <w:rPr>
          <w:rFonts w:ascii="Times New Roman" w:hAnsi="Times New Roman"/>
          <w:sz w:val="24"/>
          <w:szCs w:val="24"/>
        </w:rPr>
        <w:t>Posiedzenie Komisji odbył</w:t>
      </w:r>
      <w:r>
        <w:rPr>
          <w:rFonts w:ascii="Times New Roman" w:hAnsi="Times New Roman"/>
          <w:sz w:val="24"/>
          <w:szCs w:val="24"/>
          <w:lang w:val="es-ES_tradnl"/>
        </w:rPr>
        <w:t>o sie</w:t>
      </w:r>
      <w:r>
        <w:rPr>
          <w:rFonts w:ascii="Times New Roman" w:hAnsi="Times New Roman"/>
          <w:sz w:val="24"/>
          <w:szCs w:val="24"/>
        </w:rPr>
        <w:t>̨ dnia 30 września 2022 r. w lokalu Urzędu Gminy Miastkowo ul. Ł</w:t>
      </w:r>
      <w:r>
        <w:rPr>
          <w:rFonts w:ascii="Times New Roman" w:hAnsi="Times New Roman"/>
          <w:sz w:val="24"/>
          <w:szCs w:val="24"/>
          <w:lang w:val="nl-NL"/>
        </w:rPr>
        <w:t>omz</w:t>
      </w:r>
      <w:r>
        <w:rPr>
          <w:rFonts w:ascii="Times New Roman" w:hAnsi="Times New Roman"/>
          <w:sz w:val="24"/>
          <w:szCs w:val="24"/>
        </w:rPr>
        <w:t>̇yńska 32 - pok. 17 w godz. 8:00-9:30. Posiedzenie prowadziła Przewodnicząca Komisji Patrycja Zaremba. Na 3 osobowy skład Komisji w posiedzeniu uczestniczyło 3 członk</w:t>
      </w:r>
      <w:r>
        <w:rPr>
          <w:rFonts w:ascii="Times New Roman" w:hAnsi="Times New Roman"/>
          <w:sz w:val="24"/>
          <w:szCs w:val="24"/>
          <w:lang w:val="es-ES_tradnl"/>
        </w:rPr>
        <w:t>ó</w:t>
      </w:r>
      <w:r>
        <w:rPr>
          <w:rFonts w:ascii="Times New Roman" w:hAnsi="Times New Roman"/>
          <w:sz w:val="24"/>
          <w:szCs w:val="24"/>
        </w:rPr>
        <w:t xml:space="preserve">w. Informację o terminie, miejscu i porządku posiedzenia podano do publicznej wiadomości poprzez wywieszenie zawiadomienia na tablicy ogłoszeń w Urzędzie Gminy oraz umieszczenie na stronie BIP Urzędu Gminy. </w:t>
      </w:r>
    </w:p>
    <w:p>
      <w:pPr>
        <w:pStyle w:val="Domylne"/>
        <w:bidi w:val="0"/>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 xml:space="preserve">Członkowie obecni na posiedzeniu: </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Zaremba Patrycja</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Kamienowski Sławomir</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 xml:space="preserve">Grużewski Paweł </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 xml:space="preserve">lista obecności w załączeniu. </w:t>
      </w:r>
    </w:p>
    <w:p>
      <w:pPr>
        <w:pStyle w:val="Domylne"/>
        <w:bidi w:val="0"/>
        <w:spacing w:lineRule="auto" w:line="360" w:before="0" w:after="0"/>
        <w:ind w:left="0" w:right="0" w:hanging="0"/>
        <w:jc w:val="both"/>
        <w:rPr>
          <w:rFonts w:ascii="Times New Roman" w:hAnsi="Times New Roman" w:eastAsia="Times New Roman" w:cs="Times New Roman"/>
        </w:rPr>
      </w:pPr>
      <w:r>
        <w:rPr>
          <w:rFonts w:eastAsia="Times New Roman" w:cs="Times New Roman" w:ascii="Times New Roman" w:hAnsi="Times New Roman"/>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Ponadto w posiedzeniu uczestniczyli:</w:t>
      </w:r>
    </w:p>
    <w:p>
      <w:pPr>
        <w:pStyle w:val="Domylne"/>
        <w:numPr>
          <w:ilvl w:val="0"/>
          <w:numId w:val="8"/>
        </w:numPr>
        <w:bidi w:val="0"/>
        <w:spacing w:lineRule="auto" w:line="360" w:before="0" w:after="0"/>
        <w:ind w:left="360" w:right="0" w:hanging="360"/>
        <w:jc w:val="both"/>
        <w:rPr>
          <w:rFonts w:ascii="Times New Roman" w:hAnsi="Times New Roman"/>
        </w:rPr>
      </w:pPr>
      <w:r>
        <w:rPr>
          <w:rFonts w:ascii="Times New Roman" w:hAnsi="Times New Roman"/>
        </w:rPr>
        <w:t>G</w:t>
      </w:r>
      <w:r>
        <w:rPr>
          <w:rFonts w:ascii="Times New Roman" w:hAnsi="Times New Roman"/>
          <w:lang w:val="es-ES_tradnl"/>
        </w:rPr>
        <w:t>ó</w:t>
      </w:r>
      <w:r>
        <w:rPr>
          <w:rFonts w:ascii="Times New Roman" w:hAnsi="Times New Roman"/>
        </w:rPr>
        <w:t>rski Kazimierz - W</w:t>
      </w:r>
      <w:r>
        <w:rPr>
          <w:rFonts w:ascii="Times New Roman" w:hAnsi="Times New Roman"/>
          <w:lang w:val="es-ES_tradnl"/>
        </w:rPr>
        <w:t>ó</w:t>
      </w:r>
      <w:r>
        <w:rPr>
          <w:rFonts w:ascii="Times New Roman" w:hAnsi="Times New Roman"/>
        </w:rPr>
        <w:t>jt Gminy Miastkowo</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 xml:space="preserve">Wiktorzak Iwona- Inspektor </w:t>
      </w:r>
    </w:p>
    <w:p>
      <w:pPr>
        <w:pStyle w:val="Domylne"/>
        <w:numPr>
          <w:ilvl w:val="0"/>
          <w:numId w:val="2"/>
        </w:numPr>
        <w:bidi w:val="0"/>
        <w:spacing w:lineRule="auto" w:line="360" w:before="0" w:after="0"/>
        <w:ind w:left="360" w:right="0" w:hanging="360"/>
        <w:jc w:val="both"/>
        <w:rPr>
          <w:rFonts w:ascii="Times New Roman" w:hAnsi="Times New Roman"/>
        </w:rPr>
      </w:pPr>
      <w:r>
        <w:rPr>
          <w:rFonts w:ascii="Times New Roman" w:hAnsi="Times New Roman"/>
        </w:rPr>
        <w:t xml:space="preserve">Rupacz Henryk- Przewodniczący Rady </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 xml:space="preserve">lista obecności w załączeniu. </w:t>
      </w:r>
    </w:p>
    <w:p>
      <w:pPr>
        <w:pStyle w:val="Domylne"/>
        <w:bidi w:val="0"/>
        <w:spacing w:lineRule="auto" w:line="360" w:before="0" w:after="0"/>
        <w:ind w:left="0" w:right="0" w:hanging="0"/>
        <w:jc w:val="both"/>
        <w:rPr>
          <w:rFonts w:ascii="Times New Roman" w:hAnsi="Times New Roman" w:eastAsia="Times New Roman" w:cs="Times New Roman"/>
        </w:rPr>
      </w:pPr>
      <w:r>
        <w:rPr>
          <w:rFonts w:eastAsia="Times New Roman" w:cs="Times New Roman" w:ascii="Times New Roman" w:hAnsi="Times New Roman"/>
        </w:rPr>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b/>
          <w:bCs/>
        </w:rPr>
        <w:t xml:space="preserve">Ad.1. </w:t>
      </w:r>
      <w:r>
        <w:rPr>
          <w:rFonts w:ascii="Times New Roman" w:hAnsi="Times New Roman"/>
        </w:rPr>
        <w:t>Przewodnicząca Komisji dokonała otwarcia posiedzenia witając wszystkich zebranych. Na podstawie listy obecności stwierdziła prawomocność posiedzenia i zapoznała z porządkiem dziennym. Członkowie Komisji nie wnosili uwag do porządku posiedzenia. Przewodnicząca stwierdziła, że porządek o przedstawionej treści uważa za przyję</w:t>
      </w:r>
      <w:r>
        <w:rPr>
          <w:rFonts w:ascii="Times New Roman" w:hAnsi="Times New Roman"/>
          <w:lang w:val="en-US"/>
        </w:rPr>
        <w:t xml:space="preserve">ty: </w:t>
      </w:r>
    </w:p>
    <w:p>
      <w:pPr>
        <w:pStyle w:val="Domylne"/>
        <w:numPr>
          <w:ilvl w:val="0"/>
          <w:numId w:val="0"/>
        </w:numPr>
        <w:bidi w:val="0"/>
        <w:spacing w:lineRule="auto" w:line="360" w:before="0" w:after="0"/>
        <w:ind w:left="360" w:right="0" w:hanging="0"/>
        <w:jc w:val="both"/>
        <w:rPr>
          <w:rFonts w:ascii="Times New Roman" w:hAnsi="Times New Roman"/>
        </w:rPr>
      </w:pPr>
      <w:r>
        <w:rPr>
          <w:rFonts w:ascii="Times New Roman" w:hAnsi="Times New Roman"/>
        </w:rPr>
        <w:t>1. Otwarcie posiedzenia i przyjęcie porządku dziennego.</w:t>
      </w:r>
    </w:p>
    <w:p>
      <w:pPr>
        <w:pStyle w:val="Domylne"/>
        <w:numPr>
          <w:ilvl w:val="0"/>
          <w:numId w:val="0"/>
        </w:numPr>
        <w:bidi w:val="0"/>
        <w:spacing w:lineRule="auto" w:line="360" w:before="0" w:after="0"/>
        <w:ind w:left="360" w:right="0" w:hanging="0"/>
        <w:jc w:val="both"/>
        <w:rPr>
          <w:rFonts w:ascii="Times New Roman" w:hAnsi="Times New Roman"/>
        </w:rPr>
      </w:pPr>
      <w:r>
        <w:rPr>
          <w:rFonts w:ascii="Times New Roman" w:hAnsi="Times New Roman"/>
        </w:rPr>
        <w:t>2. Przyjęcie protokołu z poprzedniego posiedzenia.</w:t>
      </w:r>
    </w:p>
    <w:p>
      <w:pPr>
        <w:pStyle w:val="Domylne"/>
        <w:numPr>
          <w:ilvl w:val="0"/>
          <w:numId w:val="0"/>
        </w:numPr>
        <w:bidi w:val="0"/>
        <w:spacing w:lineRule="auto" w:line="360" w:before="0" w:after="0"/>
        <w:ind w:left="360" w:right="0" w:hanging="0"/>
        <w:jc w:val="both"/>
        <w:rPr>
          <w:rFonts w:ascii="Times New Roman" w:hAnsi="Times New Roman"/>
        </w:rPr>
      </w:pPr>
      <w:r>
        <w:rPr>
          <w:rFonts w:ascii="Times New Roman" w:hAnsi="Times New Roman"/>
        </w:rPr>
        <w:t>3. Rozpatrzenie informacji z wykonania budżetu za I półrocze 2022 r.</w:t>
      </w:r>
    </w:p>
    <w:p>
      <w:pPr>
        <w:pStyle w:val="Domylne"/>
        <w:bidi w:val="0"/>
        <w:spacing w:lineRule="auto" w:line="360" w:before="0" w:after="0"/>
        <w:ind w:left="0" w:right="0" w:hanging="0"/>
        <w:jc w:val="left"/>
        <w:rPr>
          <w:rFonts w:ascii="Times New Roman" w:hAnsi="Times New Roman" w:eastAsia="Times New Roman" w:cs="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4. Rozpatrzenie projekt</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uchwał w sprawach:</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 xml:space="preserve">zmieniająca uchwałę w sprawie uchwalenia Wieloletniej Prognozy Finansowej Gminy Miastkowo na lata 2022-2025 wraz z prognozą kwoty długu i spłat zobowiązań na lata 2022- 2027 </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zmian w budżecie gminy na 2022 rok;</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określenia wysokości stawek podatku od nieruchomości na 2023 rok; </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określenia wysokości rocznych stawek podatku od środk</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transportowych na 2023 rok;</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wprowadzenia oraz określenia wysokości stawki opłaty prolongacyjnej;</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określenia tygodniowego obowiązkowego wymiaru godzin zajęć pedagog</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pedagog</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specjalnych, logoped</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terapeut</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pedagogicznych i doradc</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zawodowych;</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pokrycia części koszt</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gospodarowania odpadami komunalnymi z dochod</w:t>
      </w:r>
      <w:r>
        <w:rPr>
          <w:rFonts w:ascii="Times New Roman" w:hAnsi="Times New Roman"/>
          <w:outline w:val="false"/>
          <w:color w:val="202528"/>
          <w:shd w:fill="FFFFFF" w:val="clear"/>
          <w:lang w:val="es-ES_tradnl"/>
          <w14:textFill>
            <w14:solidFill>
              <w14:srgbClr w14:val="212529"/>
            </w14:solidFill>
          </w14:textFill>
        </w:rPr>
        <w:t>ó</w:t>
      </w:r>
      <w:r>
        <w:rPr>
          <w:rFonts w:ascii="Times New Roman" w:hAnsi="Times New Roman"/>
          <w:outline w:val="false"/>
          <w:color w:val="202528"/>
          <w:shd w:fill="FFFFFF" w:val="clear"/>
          <w14:textFill>
            <w14:solidFill>
              <w14:srgbClr w14:val="212529"/>
            </w14:solidFill>
          </w14:textFill>
        </w:rPr>
        <w:t>w własnych gminy niepochodzących z pobranej opłaty za gospodarowanie odpadami komunalnymi</w:t>
      </w:r>
    </w:p>
    <w:p>
      <w:pPr>
        <w:pStyle w:val="Domylne"/>
        <w:numPr>
          <w:ilvl w:val="0"/>
          <w:numId w:val="3"/>
        </w:numPr>
        <w:bidi w:val="0"/>
        <w:spacing w:lineRule="auto" w:line="360" w:before="0" w:after="0"/>
        <w:ind w:left="393" w:right="0" w:hanging="393"/>
        <w:jc w:val="left"/>
        <w:rPr>
          <w:rFonts w:ascii="Times New Roman" w:hAnsi="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rozpatrzenia petycji</w:t>
      </w:r>
    </w:p>
    <w:p>
      <w:pPr>
        <w:pStyle w:val="Domylne"/>
        <w:bidi w:val="0"/>
        <w:spacing w:lineRule="auto" w:line="360" w:before="0" w:after="0"/>
        <w:ind w:left="0" w:right="0" w:hanging="0"/>
        <w:jc w:val="left"/>
        <w:rPr>
          <w:rFonts w:ascii="Times New Roman" w:hAnsi="Times New Roman" w:eastAsia="Times New Roman" w:cs="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5. Sprawozdanie z działalności komisji za I półrocze 2022 r.</w:t>
      </w:r>
    </w:p>
    <w:p>
      <w:pPr>
        <w:pStyle w:val="Domylne"/>
        <w:bidi w:val="0"/>
        <w:spacing w:lineRule="auto" w:line="360" w:before="0" w:after="0"/>
        <w:ind w:left="0" w:right="0" w:hanging="0"/>
        <w:jc w:val="both"/>
        <w:rPr>
          <w:rFonts w:ascii="Times New Roman" w:hAnsi="Times New Roman" w:eastAsia="Times New Roman" w:cs="Times New Roman"/>
          <w:outline w:val="false"/>
          <w:color w:val="202528"/>
          <w:shd w:fill="FFFFFF" w:val="clear"/>
          <w14:textFill>
            <w14:solidFill>
              <w14:srgbClr w14:val="212529"/>
            </w14:solidFill>
          </w14:textFill>
        </w:rPr>
      </w:pPr>
      <w:r>
        <w:rPr>
          <w:rFonts w:ascii="Times New Roman" w:hAnsi="Times New Roman"/>
          <w:outline w:val="false"/>
          <w:color w:val="202528"/>
          <w:shd w:fill="FFFFFF" w:val="clear"/>
          <w14:textFill>
            <w14:solidFill>
              <w14:srgbClr w14:val="212529"/>
            </w14:solidFill>
          </w14:textFill>
        </w:rPr>
        <w:t>6. Wolne wnioski</w:t>
      </w:r>
    </w:p>
    <w:p>
      <w:pPr>
        <w:pStyle w:val="Domylne"/>
        <w:bidi w:val="0"/>
        <w:spacing w:lineRule="auto" w:line="360" w:before="0" w:after="0"/>
        <w:ind w:left="0" w:right="0" w:hanging="0"/>
        <w:jc w:val="both"/>
        <w:rPr>
          <w:rFonts w:ascii="Times New Roman" w:hAnsi="Times New Roman" w:eastAsia="Times New Roman" w:cs="Times New Roman"/>
          <w:outline w:val="false"/>
          <w:color w:val="202528"/>
          <w:shd w:fill="FFFFFF" w:val="clear"/>
          <w14:textFill>
            <w14:solidFill>
              <w14:srgbClr w14:val="212529"/>
            </w14:solidFill>
          </w14:textFill>
        </w:rPr>
      </w:pPr>
      <w:r>
        <w:rPr>
          <w:rFonts w:eastAsia="Times New Roman" w:cs="Times New Roman" w:ascii="Times New Roman" w:hAnsi="Times New Roman"/>
          <w:outline w:val="false"/>
          <w:color w:val="202528"/>
          <w:shd w:fill="FFFFFF" w:val="clear"/>
          <w14:textFill>
            <w14:solidFill>
              <w14:srgbClr w14:val="212529"/>
            </w14:solidFill>
          </w14:textFill>
        </w:rPr>
      </w:r>
    </w:p>
    <w:p>
      <w:pPr>
        <w:pStyle w:val="Domylne"/>
        <w:bidi w:val="0"/>
        <w:spacing w:lineRule="auto" w:line="360" w:before="0" w:after="0"/>
        <w:ind w:left="0" w:right="0" w:hanging="0"/>
        <w:jc w:val="both"/>
        <w:rPr>
          <w:rFonts w:ascii="Times New Roman" w:hAnsi="Times New Roman" w:eastAsia="Times New Roman" w:cs="Times New Roman"/>
          <w:b/>
          <w:b/>
          <w:bCs/>
          <w:u w:val="single" w:color="FFFFFF"/>
          <w:shd w:fill="FFFFFF" w:val="clear"/>
        </w:rPr>
      </w:pPr>
      <w:r>
        <w:rPr>
          <w:rFonts w:ascii="Times New Roman" w:hAnsi="Times New Roman"/>
          <w:b/>
          <w:bCs/>
          <w:u w:val="single" w:color="FFFFFF"/>
          <w:shd w:fill="FFFFFF" w:val="clear"/>
        </w:rPr>
        <w:t xml:space="preserve">PRZEBIEG POSIEDZENIA: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b/>
          <w:bCs/>
          <w:shd w:fill="FFFFFF" w:val="clear"/>
        </w:rPr>
        <w:t>Ad.2.</w:t>
      </w:r>
      <w:r>
        <w:rPr>
          <w:rFonts w:ascii="Times New Roman" w:hAnsi="Times New Roman"/>
          <w:shd w:fill="FFFFFF" w:val="clear"/>
        </w:rPr>
        <w:t xml:space="preserve"> Przewodnicząca poinformowała, że pkt 1 porządku posiedzenia został zrealizowany. W związku z powyższym przystąpiła do realizacji punktu 2 - przyjęcie protokołu z poprzedniego posiedzenia. Przewodnicząca poinformowała, że protokół został podpisany bez uwag. Nie wnoszono żadnych uwag, co do jego treści.</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b/>
          <w:bCs/>
          <w:shd w:fill="FFFFFF" w:val="clear"/>
        </w:rPr>
        <w:t xml:space="preserve">Ad.3. </w:t>
      </w:r>
      <w:r>
        <w:rPr>
          <w:rFonts w:ascii="Times New Roman" w:hAnsi="Times New Roman"/>
          <w:shd w:fill="FFFFFF" w:val="clear"/>
        </w:rPr>
        <w:t xml:space="preserve">Punkt kolejny posiedzenia to rozpatrzenie informacji z wykonania budżetu za I półrocze 2022 roku. Wójt Gminy poinformował, że budżet gminy po wprowadzonych zmianach na dzień 30 czerwca 2022 r. zamknął się: po stronie dochodów kwotą </w:t>
      </w:r>
      <w:r>
        <w:rPr>
          <w:rFonts w:ascii="Times New Roman" w:hAnsi="Times New Roman"/>
          <w:b/>
          <w:bCs/>
          <w:shd w:fill="FFFFFF" w:val="clear"/>
        </w:rPr>
        <w:t xml:space="preserve">24 360 778,71 zł </w:t>
      </w:r>
      <w:r>
        <w:rPr>
          <w:rFonts w:ascii="Times New Roman" w:hAnsi="Times New Roman"/>
          <w:shd w:fill="FFFFFF" w:val="clear"/>
        </w:rPr>
        <w:t xml:space="preserve">, po stronie wydatków kwotą </w:t>
      </w:r>
      <w:r>
        <w:rPr>
          <w:rFonts w:ascii="Times New Roman" w:hAnsi="Times New Roman"/>
          <w:b/>
          <w:bCs/>
          <w:shd w:fill="FFFFFF" w:val="clear"/>
        </w:rPr>
        <w:t>28 847 398,71 zł</w:t>
      </w:r>
      <w:r>
        <w:rPr>
          <w:rFonts w:ascii="Times New Roman" w:hAnsi="Times New Roman"/>
          <w:shd w:fill="FFFFFF" w:val="clear"/>
        </w:rPr>
        <w:t xml:space="preserve">. Różnica między dochodami a wydatkami stanowi deficyt budżetowy w kwocie </w:t>
      </w:r>
      <w:r>
        <w:rPr>
          <w:rFonts w:ascii="Times New Roman" w:hAnsi="Times New Roman"/>
          <w:b/>
          <w:bCs/>
          <w:shd w:fill="FFFFFF" w:val="clear"/>
        </w:rPr>
        <w:t xml:space="preserve">4 486 620,00 zł, </w:t>
      </w:r>
      <w:r>
        <w:rPr>
          <w:rFonts w:ascii="Times New Roman" w:hAnsi="Times New Roman"/>
          <w:shd w:fill="FFFFFF" w:val="clear"/>
        </w:rPr>
        <w:t xml:space="preserve">który planuje się pokryć nadwyżką z lat ubiegłych w kwocie </w:t>
      </w:r>
      <w:r>
        <w:rPr>
          <w:rFonts w:ascii="Times New Roman" w:hAnsi="Times New Roman"/>
          <w:b/>
          <w:bCs/>
          <w:shd w:fill="FFFFFF" w:val="clear"/>
        </w:rPr>
        <w:t>3 486 620,00 zł,</w:t>
      </w:r>
      <w:r>
        <w:rPr>
          <w:rFonts w:ascii="Times New Roman" w:hAnsi="Times New Roman"/>
          <w:shd w:fill="FFFFFF" w:val="clear"/>
        </w:rPr>
        <w:t xml:space="preserve"> oraz kredytem w kwocie </w:t>
      </w:r>
      <w:r>
        <w:rPr>
          <w:rFonts w:ascii="Times New Roman" w:hAnsi="Times New Roman"/>
          <w:b/>
          <w:bCs/>
          <w:shd w:fill="FFFFFF" w:val="clear"/>
        </w:rPr>
        <w:t xml:space="preserve">1 000 000, 00 zł. </w:t>
      </w:r>
      <w:r>
        <w:rPr>
          <w:rFonts w:ascii="Times New Roman" w:hAnsi="Times New Roman"/>
          <w:shd w:fill="FFFFFF" w:val="clear"/>
        </w:rPr>
        <w:t xml:space="preserve">Realizacja planu dochodów budżetu w I półroczu przedstawia się następująco: dochody wykonano w kwocie </w:t>
      </w:r>
      <w:r>
        <w:rPr>
          <w:rFonts w:ascii="Times New Roman" w:hAnsi="Times New Roman"/>
          <w:b/>
          <w:bCs/>
          <w:shd w:fill="FFFFFF" w:val="clear"/>
        </w:rPr>
        <w:t xml:space="preserve">14 343 245,42 zł; </w:t>
      </w:r>
      <w:r>
        <w:rPr>
          <w:rFonts w:ascii="Times New Roman" w:hAnsi="Times New Roman"/>
          <w:shd w:fill="FFFFFF" w:val="clear"/>
        </w:rPr>
        <w:t xml:space="preserve">co stanowi 58,88% wykonania planu. Otrzymano dochody z tytuł: subwencje- 4 644 124,00 zł; dotacje na cele bieżące 5 235 972,52 zł; podatki i opłaty- 4 330 337,71 zł; sprzedaż mienia 16 695,30 zł; dotacje na cele inwestycyjne- 116 115,90 zł.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W I półroczu 2022 r. </w:t>
      </w:r>
      <w:r>
        <w:rPr>
          <w:rFonts w:ascii="Times New Roman" w:hAnsi="Times New Roman"/>
          <w:shd w:fill="FFFFFF" w:val="clear"/>
        </w:rPr>
        <w:t>w</w:t>
      </w:r>
      <w:r>
        <w:rPr>
          <w:rFonts w:ascii="Times New Roman" w:hAnsi="Times New Roman"/>
          <w:shd w:fill="FFFFFF" w:val="clear"/>
        </w:rPr>
        <w:t xml:space="preserve">ydatki z budżetu zamykają się w kwocie </w:t>
      </w:r>
      <w:r>
        <w:rPr>
          <w:rFonts w:ascii="Times New Roman" w:hAnsi="Times New Roman"/>
          <w:b/>
          <w:bCs/>
          <w:shd w:fill="FFFFFF" w:val="clear"/>
        </w:rPr>
        <w:t xml:space="preserve">14 234 530,71 zł, </w:t>
      </w:r>
      <w:r>
        <w:rPr>
          <w:rFonts w:ascii="Times New Roman" w:hAnsi="Times New Roman"/>
          <w:shd w:fill="FFFFFF" w:val="clear"/>
        </w:rPr>
        <w:t xml:space="preserve">co stanowi 49,34%  wykonania planu.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Na zadania bieżące wydatkowano środki w kwocie 12 525 599,02 zł w tym:wydatki na obsługę długu-  28 277,56 zł, wynagrodzenia i pochodne- 5 401 804,48 zł, wydatki majątkowe- 1 708 931,69 zł. </w:t>
      </w:r>
    </w:p>
    <w:p>
      <w:pPr>
        <w:pStyle w:val="Domylne"/>
        <w:bidi w:val="0"/>
        <w:spacing w:lineRule="auto" w:line="360" w:before="0" w:after="0"/>
        <w:ind w:left="0" w:right="0" w:hanging="0"/>
        <w:jc w:val="both"/>
        <w:rPr>
          <w:rFonts w:ascii="Times New Roman" w:hAnsi="Times New Roman" w:eastAsia="Times New Roman" w:cs="Times New Roman"/>
          <w:b/>
          <w:b/>
          <w:bCs/>
          <w:shd w:fill="FFFFFF" w:val="clear"/>
        </w:rPr>
      </w:pPr>
      <w:r>
        <w:rPr>
          <w:rFonts w:ascii="Times New Roman" w:hAnsi="Times New Roman"/>
          <w:shd w:fill="FFFFFF" w:val="clear"/>
        </w:rPr>
        <w:t xml:space="preserve">Za I półrocze na dzień 30 czerwca 2022 r. </w:t>
      </w:r>
      <w:r>
        <w:rPr>
          <w:rFonts w:ascii="Times New Roman" w:hAnsi="Times New Roman"/>
          <w:shd w:fill="FFFFFF" w:val="clear"/>
        </w:rPr>
        <w:t>r</w:t>
      </w:r>
      <w:r>
        <w:rPr>
          <w:rFonts w:ascii="Times New Roman" w:hAnsi="Times New Roman"/>
          <w:shd w:fill="FFFFFF" w:val="clear"/>
        </w:rPr>
        <w:t xml:space="preserve">óżnica pomiędzy dochodami, a wydatkami stanowi nadwyżkę budżetową w kwocie </w:t>
      </w:r>
      <w:r>
        <w:rPr>
          <w:rFonts w:ascii="Times New Roman" w:hAnsi="Times New Roman"/>
          <w:b/>
          <w:bCs/>
          <w:shd w:fill="FFFFFF" w:val="clear"/>
        </w:rPr>
        <w:t xml:space="preserve">108 714,71 zł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b/>
          <w:bCs/>
          <w:shd w:fill="FFFFFF" w:val="clear"/>
        </w:rPr>
        <w:tab/>
      </w:r>
      <w:r>
        <w:rPr>
          <w:rFonts w:ascii="Times New Roman" w:hAnsi="Times New Roman"/>
          <w:shd w:fill="FFFFFF" w:val="clear"/>
        </w:rPr>
        <w:t>Członkowie Komisji nie zgłaszali żadnych pytań w związku z powyższym na wniosek Przewodniczącej odbyło się głosowanie jawne w sprawie zaopiniowania informacji z wykonania budżetu gminy za I półrocze 2022 r. W głosowaniu wzięło udział 3 członków. Za wyrażeniem pozytywnej opinii głosowało 3 członków Komisji, przeciwnych- 0, wstrzymujących się od głosu-0. Przewodnicząca stwierdziła, że Komisja jednogłośnie pozytywnie zaopiniowała przedmiotową informacj</w:t>
      </w:r>
      <w:r>
        <w:rPr>
          <w:rFonts w:ascii="Times New Roman" w:hAnsi="Times New Roman"/>
          <w:shd w:fill="FFFFFF" w:val="clear"/>
        </w:rPr>
        <w:t>ę</w:t>
      </w:r>
      <w:r>
        <w:rPr>
          <w:rFonts w:ascii="Times New Roman" w:hAnsi="Times New Roman"/>
          <w:shd w:fill="FFFFFF" w:val="clear"/>
        </w:rPr>
        <w:t xml:space="preserve">.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b/>
          <w:bCs/>
          <w:shd w:fill="FFFFFF" w:val="clear"/>
        </w:rPr>
        <w:t>Ad.4.a.</w:t>
      </w:r>
      <w:r>
        <w:rPr>
          <w:rFonts w:ascii="Times New Roman" w:hAnsi="Times New Roman"/>
          <w:shd w:fill="FFFFFF" w:val="clear"/>
        </w:rPr>
        <w:t xml:space="preserve"> Punkt kolejny posiedzenia to rozpatrzenie uchwały zmieniając</w:t>
      </w:r>
      <w:r>
        <w:rPr>
          <w:rFonts w:ascii="Times New Roman" w:hAnsi="Times New Roman"/>
          <w:shd w:fill="FFFFFF" w:val="clear"/>
        </w:rPr>
        <w:t>ej</w:t>
      </w:r>
      <w:r>
        <w:rPr>
          <w:rFonts w:ascii="Times New Roman" w:hAnsi="Times New Roman"/>
          <w:shd w:fill="FFFFFF" w:val="clear"/>
        </w:rPr>
        <w:t xml:space="preserve"> uchwałę w sprawie uchwalenia Wieloletniej Prognozy Finansowej Gminy Miastkowo na lata 2022-2025 wraz z prognozą kwoty długu i spłat zobowiązań na lata 2022- 2027. Treść uchwały zmieniającej przedstawiła Pani Wiktorzak, i tak w załączniku nr 1 zaktualizowano plan dochodów i wydatków na rok 2022, który przedstawia się następująco po stronie dochodów- 25 096 026,55 zł; po stronie wydatków 29 582 646,55 zł. Zatem budżet na rok 2022 zamknie się deficytem w kwocie 4 486 620,00 zł, który zostanie pokryty nadwyżką z lat ubiegłych w kwocie 3 486 620,00 zł oraz kredytem planowanym do zaciągnięcia na kwotę 1 000 000,00 zł. W załączniku nr 2 do niniejszej uchwały w przedsięwzięciach realizowanych w 2022 roku zmieniono limit wydatków w przedsięwzięciu „Przebudowa z rozbudową drogi gminnej Kaliszki” zwiększono plan wydatków o kwotę 50 000,84 zł na aktualizacje dokumentacji.</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tab/>
      </w:r>
      <w:r>
        <w:rPr>
          <w:rFonts w:ascii="Times New Roman" w:hAnsi="Times New Roman"/>
          <w:shd w:fill="FFFFFF" w:val="clear"/>
        </w:rPr>
        <w:t>Pytań ani uwag do przedmiotowego projektu nie był</w:t>
      </w:r>
      <w:r>
        <w:rPr>
          <w:rFonts w:ascii="Times New Roman" w:hAnsi="Times New Roman"/>
          <w:shd w:fill="FFFFFF" w:val="clear"/>
          <w:lang w:val="it-IT"/>
        </w:rPr>
        <w:t>o. Naste</w:t>
      </w:r>
      <w:r>
        <w:rPr>
          <w:rFonts w:ascii="Times New Roman" w:hAnsi="Times New Roman"/>
          <w:shd w:fill="FFFFFF" w:val="clear"/>
        </w:rPr>
        <w:t>̨pnie Przewodnicząca poddała pod głosowanie jawne wniosek w sprawie pozytywnego zaopiniowania projektu uchwały. Na 3 osobowy skład Komisji w głosowaniu udział wzięło 3 członk</w:t>
      </w:r>
      <w:r>
        <w:rPr>
          <w:rFonts w:ascii="Times New Roman" w:hAnsi="Times New Roman"/>
          <w:shd w:fill="FFFFFF" w:val="clear"/>
          <w:lang w:val="es-ES_tradnl"/>
        </w:rPr>
        <w:t>ó</w:t>
      </w:r>
      <w:r>
        <w:rPr>
          <w:rFonts w:ascii="Times New Roman" w:hAnsi="Times New Roman"/>
          <w:shd w:fill="FFFFFF" w:val="clear"/>
        </w:rPr>
        <w:t>w. Za wyrażeniem pozytywnej opinii głosowało 3 członk</w:t>
      </w:r>
      <w:r>
        <w:rPr>
          <w:rFonts w:ascii="Times New Roman" w:hAnsi="Times New Roman"/>
          <w:shd w:fill="FFFFFF" w:val="clear"/>
          <w:lang w:val="es-ES_tradnl"/>
        </w:rPr>
        <w:t>ó</w:t>
      </w:r>
      <w:r>
        <w:rPr>
          <w:rFonts w:ascii="Times New Roman" w:hAnsi="Times New Roman"/>
          <w:shd w:fill="FFFFFF" w:val="clear"/>
        </w:rPr>
        <w:t>w, przeciw - 0, wstrzymał</w:t>
      </w:r>
      <w:r>
        <w:rPr>
          <w:rFonts w:ascii="Times New Roman" w:hAnsi="Times New Roman"/>
          <w:shd w:fill="FFFFFF" w:val="clear"/>
          <w:lang w:val="es-ES_tradnl"/>
        </w:rPr>
        <w:t>o sie</w:t>
      </w:r>
      <w:r>
        <w:rPr>
          <w:rFonts w:ascii="Times New Roman" w:hAnsi="Times New Roman"/>
          <w:shd w:fill="FFFFFF" w:val="clear"/>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b/>
          <w:bCs/>
          <w:shd w:fill="FFFFFF" w:val="clear"/>
        </w:rPr>
      </w:pPr>
      <w:r>
        <w:rPr>
          <w:rFonts w:eastAsia="Times New Roman" w:cs="Times New Roman" w:ascii="Times New Roman" w:hAnsi="Times New Roman"/>
          <w:b/>
          <w:bCs/>
          <w:shd w:fill="FFFFFF" w:val="clear"/>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shd w:fill="FFFFFF" w:val="clear"/>
        </w:rPr>
        <w:t xml:space="preserve">Ad.4.b. </w:t>
      </w:r>
      <w:r>
        <w:rPr>
          <w:rFonts w:ascii="Times New Roman" w:hAnsi="Times New Roman"/>
          <w:b w:val="false"/>
          <w:bCs w:val="false"/>
          <w:shd w:fill="FFFFFF" w:val="clear"/>
        </w:rPr>
        <w:t>Kolejny punkt posiedzenia to rozpatrzenie projektu uchwały zmiany w budżecie gminy na 2022 rok. Pani Wiktorzak</w:t>
      </w:r>
      <w:r>
        <w:rPr>
          <w:rFonts w:ascii="Times New Roman" w:hAnsi="Times New Roman"/>
          <w:b w:val="false"/>
          <w:bCs w:val="false"/>
        </w:rPr>
        <w:t xml:space="preserve"> przedstawiła planowane zmiany w budżecie, kt</w:t>
      </w:r>
      <w:r>
        <w:rPr>
          <w:rFonts w:ascii="Times New Roman" w:hAnsi="Times New Roman"/>
          <w:b w:val="false"/>
          <w:bCs w:val="false"/>
          <w:lang w:val="es-ES_tradnl"/>
        </w:rPr>
        <w:t>ó</w:t>
      </w:r>
      <w:r>
        <w:rPr>
          <w:rFonts w:ascii="Times New Roman" w:hAnsi="Times New Roman"/>
          <w:b w:val="false"/>
          <w:bCs w:val="false"/>
        </w:rPr>
        <w:t>re przedstawiaj</w:t>
      </w:r>
      <w:r>
        <w:rPr>
          <w:rFonts w:ascii="Times New Roman" w:hAnsi="Times New Roman"/>
          <w:b w:val="false"/>
          <w:bCs w:val="false"/>
        </w:rPr>
        <w:t>ą</w:t>
      </w:r>
      <w:r>
        <w:rPr>
          <w:rFonts w:ascii="Times New Roman" w:hAnsi="Times New Roman"/>
          <w:b w:val="false"/>
          <w:bCs w:val="false"/>
        </w:rPr>
        <w:t xml:space="preserve"> </w:t>
      </w:r>
      <w:r>
        <w:rPr>
          <w:rFonts w:ascii="Times New Roman" w:hAnsi="Times New Roman"/>
          <w:b w:val="false"/>
          <w:bCs w:val="false"/>
          <w:lang w:val="de-DE"/>
        </w:rPr>
        <w:t>sie</w:t>
      </w:r>
      <w:r>
        <w:rPr>
          <w:rFonts w:ascii="Times New Roman" w:hAnsi="Times New Roman"/>
          <w:b w:val="false"/>
          <w:bCs w:val="false"/>
        </w:rPr>
        <w:t xml:space="preserve">̨ </w:t>
      </w:r>
      <w:r>
        <w:rPr>
          <w:rFonts w:ascii="Times New Roman" w:hAnsi="Times New Roman"/>
          <w:b w:val="false"/>
          <w:bCs w:val="false"/>
          <w:lang w:val="sv-SE"/>
        </w:rPr>
        <w:t>naste</w:t>
      </w:r>
      <w:r>
        <w:rPr>
          <w:rFonts w:ascii="Times New Roman" w:hAnsi="Times New Roman"/>
          <w:b w:val="false"/>
          <w:bCs w:val="false"/>
        </w:rPr>
        <w:t>̨pująco w § 3 budżet gminy po dokonanych zmianach wynosi:</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dochody budżetu gminy ogółem wynoszą </w:t>
      </w:r>
      <w:r>
        <w:rPr>
          <w:rFonts w:ascii="Times New Roman" w:hAnsi="Times New Roman"/>
          <w:b/>
          <w:bCs/>
        </w:rPr>
        <w:t>26 645 078,00</w:t>
      </w:r>
      <w:r>
        <w:rPr>
          <w:rFonts w:ascii="Times New Roman" w:hAnsi="Times New Roman"/>
          <w:b/>
          <w:bCs/>
          <w:lang w:val="de-DE"/>
        </w:rPr>
        <w:t xml:space="preserve"> z</w:t>
      </w:r>
      <w:r>
        <w:rPr>
          <w:rFonts w:ascii="Times New Roman" w:hAnsi="Times New Roman"/>
          <w:b/>
          <w:bCs/>
        </w:rPr>
        <w:t>ł,</w:t>
      </w:r>
      <w:r>
        <w:rPr>
          <w:rFonts w:ascii="Times New Roman" w:hAnsi="Times New Roman"/>
          <w:b w:val="false"/>
          <w:bCs w:val="false"/>
        </w:rPr>
        <w:t xml:space="preserve"> w tym:</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dochody bieżące – 24 954 792,96</w:t>
      </w:r>
      <w:r>
        <w:rPr>
          <w:rFonts w:ascii="Times New Roman" w:hAnsi="Times New Roman"/>
          <w:shd w:fill="FFFFFF" w:val="clear"/>
          <w:lang w:val="de-DE"/>
        </w:rPr>
        <w:t xml:space="preserve"> z</w:t>
      </w:r>
      <w:r>
        <w:rPr>
          <w:rFonts w:ascii="Times New Roman" w:hAnsi="Times New Roman"/>
          <w:shd w:fill="FFFFFF" w:val="clear"/>
        </w:rPr>
        <w:t xml:space="preserve">ł; </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dochody majątkowe – 1 690 285,84</w:t>
      </w:r>
      <w:r>
        <w:rPr>
          <w:rFonts w:ascii="Times New Roman" w:hAnsi="Times New Roman"/>
          <w:shd w:fill="FFFFFF" w:val="clear"/>
          <w:lang w:val="de-DE"/>
        </w:rPr>
        <w:t xml:space="preserve"> z</w:t>
      </w:r>
      <w:r>
        <w:rPr>
          <w:rFonts w:ascii="Times New Roman" w:hAnsi="Times New Roman"/>
          <w:shd w:fill="FFFFFF" w:val="clear"/>
        </w:rPr>
        <w:t>ł;</w:t>
      </w:r>
    </w:p>
    <w:p>
      <w:pPr>
        <w:pStyle w:val="Domylne"/>
        <w:bidi w:val="0"/>
        <w:spacing w:lineRule="auto" w:line="360" w:before="0" w:after="0"/>
        <w:ind w:left="0" w:right="0" w:hanging="0"/>
        <w:jc w:val="both"/>
        <w:rPr>
          <w:rFonts w:ascii="Times New Roman" w:hAnsi="Times New Roman" w:eastAsia="Times New Roman" w:cs="Times New Roman"/>
          <w:shd w:fill="FFFFFF" w:val="clear"/>
        </w:rPr>
      </w:pPr>
      <w:r>
        <w:rPr>
          <w:rFonts w:ascii="Times New Roman" w:hAnsi="Times New Roman"/>
          <w:shd w:fill="FFFFFF" w:val="clear"/>
        </w:rPr>
        <w:t>wydatki budżetu gminy ogółem wynoszą</w:t>
      </w:r>
      <w:r>
        <w:rPr>
          <w:rFonts w:ascii="Times New Roman" w:hAnsi="Times New Roman"/>
          <w:b/>
          <w:bCs/>
          <w:shd w:fill="FFFFFF" w:val="clear"/>
        </w:rPr>
        <w:t xml:space="preserve"> 31 131 698,80 zł </w:t>
      </w:r>
      <w:r>
        <w:rPr>
          <w:rFonts w:ascii="Times New Roman" w:hAnsi="Times New Roman"/>
          <w:shd w:fill="FFFFFF" w:val="clear"/>
        </w:rPr>
        <w:t>w tym:</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wydatki bieżące – 25 882 620,58</w:t>
      </w:r>
      <w:r>
        <w:rPr>
          <w:rFonts w:ascii="Times New Roman" w:hAnsi="Times New Roman"/>
          <w:shd w:fill="FFFFFF" w:val="clear"/>
          <w:lang w:val="de-DE"/>
        </w:rPr>
        <w:t xml:space="preserve"> z</w:t>
      </w:r>
      <w:r>
        <w:rPr>
          <w:rFonts w:ascii="Times New Roman" w:hAnsi="Times New Roman"/>
          <w:shd w:fill="FFFFFF" w:val="clear"/>
        </w:rPr>
        <w:t>ł;</w:t>
      </w:r>
    </w:p>
    <w:p>
      <w:pPr>
        <w:pStyle w:val="Domylne"/>
        <w:bidi w:val="0"/>
        <w:spacing w:lineRule="auto" w:line="360" w:before="0" w:after="0"/>
        <w:ind w:left="720" w:right="0" w:hanging="0"/>
        <w:jc w:val="both"/>
        <w:rPr>
          <w:rFonts w:ascii="Times New Roman" w:hAnsi="Times New Roman" w:eastAsia="Times New Roman" w:cs="Times New Roman"/>
          <w:shd w:fill="FFFFFF" w:val="clear"/>
        </w:rPr>
      </w:pPr>
      <w:r>
        <w:rPr>
          <w:rFonts w:ascii="Times New Roman" w:hAnsi="Times New Roman"/>
          <w:shd w:fill="FFFFFF" w:val="clear"/>
        </w:rPr>
        <w:t>- wydatki majątkowe – 5 249 078</w:t>
      </w:r>
      <w:r>
        <w:rPr>
          <w:rFonts w:ascii="Times New Roman" w:hAnsi="Times New Roman"/>
          <w:b/>
          <w:bCs/>
          <w:shd w:fill="FFFFFF" w:val="clear"/>
        </w:rPr>
        <w:t>,</w:t>
      </w:r>
      <w:r>
        <w:rPr>
          <w:rFonts w:ascii="Times New Roman" w:hAnsi="Times New Roman"/>
          <w:shd w:fill="FFFFFF" w:val="clear"/>
        </w:rPr>
        <w:t>22</w:t>
      </w:r>
      <w:r>
        <w:rPr>
          <w:rFonts w:ascii="Times New Roman" w:hAnsi="Times New Roman"/>
          <w:shd w:fill="FFFFFF" w:val="clear"/>
          <w:lang w:val="de-DE"/>
        </w:rPr>
        <w:t xml:space="preserve"> z</w:t>
      </w:r>
      <w:r>
        <w:rPr>
          <w:rFonts w:ascii="Times New Roman" w:hAnsi="Times New Roman"/>
          <w:shd w:fill="FFFFFF" w:val="clear"/>
        </w:rPr>
        <w:t>ł.</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Natomiast w § 6 uchwala się plan dochodów w kwocie 182 974,00 zł i wydatków w tej samej kwocie dla wyodrębnionych rachunków dochodów oświatowych jednostek budżetowych.</w:t>
      </w:r>
    </w:p>
    <w:p>
      <w:pPr>
        <w:pStyle w:val="Domylne"/>
        <w:bidi w:val="0"/>
        <w:spacing w:lineRule="auto" w:line="360" w:before="0" w:after="0"/>
        <w:ind w:left="0" w:right="0" w:hanging="0"/>
        <w:jc w:val="both"/>
        <w:rPr>
          <w:rFonts w:ascii="Times New Roman" w:hAnsi="Times New Roman" w:eastAsia="Times New Roman" w:cs="Times New Roman"/>
        </w:rPr>
      </w:pPr>
      <w:r>
        <w:rPr>
          <w:rFonts w:ascii="Times New Roman" w:hAnsi="Times New Roman"/>
        </w:rPr>
        <w:t>W § 7 ustala się:</w:t>
      </w:r>
    </w:p>
    <w:p>
      <w:pPr>
        <w:pStyle w:val="Domylne"/>
        <w:numPr>
          <w:ilvl w:val="0"/>
          <w:numId w:val="9"/>
        </w:numPr>
        <w:bidi w:val="0"/>
        <w:spacing w:lineRule="auto" w:line="360" w:before="0" w:after="0"/>
        <w:ind w:left="393" w:right="0" w:hanging="393"/>
        <w:jc w:val="both"/>
        <w:rPr>
          <w:rFonts w:ascii="Times New Roman" w:hAnsi="Times New Roman"/>
        </w:rPr>
      </w:pPr>
      <w:r>
        <w:rPr>
          <w:rFonts w:ascii="Times New Roman" w:hAnsi="Times New Roman"/>
        </w:rPr>
        <w:t>dochody w kwocie 26 142, 00 zł z tytułu opłat od alkoholu sprzedawanego w opakowaniach 300 ml oraz wydatki w kwocie 31 846, 00 zł na realizacje lokalnej międzysektorowej polityki przeciwdziałania negatywnym skutkom spożywania alkoholu;</w:t>
      </w:r>
    </w:p>
    <w:p>
      <w:pPr>
        <w:pStyle w:val="Domylne"/>
        <w:numPr>
          <w:ilvl w:val="0"/>
          <w:numId w:val="10"/>
        </w:numPr>
        <w:bidi w:val="0"/>
        <w:spacing w:lineRule="auto" w:line="360" w:before="0" w:after="0"/>
        <w:ind w:left="393" w:right="0" w:hanging="393"/>
        <w:jc w:val="both"/>
        <w:rPr>
          <w:rFonts w:ascii="Times New Roman" w:hAnsi="Times New Roman"/>
        </w:rPr>
      </w:pPr>
      <w:r>
        <w:rPr>
          <w:rFonts w:ascii="Times New Roman" w:hAnsi="Times New Roman"/>
        </w:rPr>
        <w:t>dochody z tytułu opłat za gospodarowanie odpadami w kwocie 898 656, 00 zł i wydatki w kwocie 1 150 593,00 zł na pokrycie kosztów systemu gospodarowania odpadami zgodnie z ustawą o utrzymaniu czystości i porządku w gminach;</w:t>
      </w:r>
    </w:p>
    <w:p>
      <w:pPr>
        <w:pStyle w:val="Domylne"/>
        <w:numPr>
          <w:ilvl w:val="0"/>
          <w:numId w:val="11"/>
        </w:numPr>
        <w:bidi w:val="0"/>
        <w:spacing w:lineRule="auto" w:line="360" w:before="0" w:after="0"/>
        <w:ind w:left="393" w:right="0" w:hanging="393"/>
        <w:jc w:val="both"/>
        <w:rPr>
          <w:rFonts w:ascii="Times New Roman" w:hAnsi="Times New Roman"/>
        </w:rPr>
      </w:pPr>
      <w:r>
        <w:rPr>
          <w:rFonts w:ascii="Times New Roman" w:hAnsi="Times New Roman"/>
        </w:rPr>
        <w:t xml:space="preserve">Dochody w kwocie 325 000, 00 zł i wydatki w kwocie 325 000, 00 zł związane z realizacją zadań określonych ustawą Prawo ochrony środowiska.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b/>
          <w:bCs/>
          <w:shd w:fill="FFFFFF" w:val="clear"/>
        </w:rPr>
        <w:t>Plan dochod</w:t>
      </w:r>
      <w:r>
        <w:rPr>
          <w:rFonts w:ascii="Times New Roman" w:hAnsi="Times New Roman"/>
          <w:b/>
          <w:bCs/>
          <w:shd w:fill="FFFFFF" w:val="clear"/>
          <w:lang w:val="es-ES_tradnl"/>
        </w:rPr>
        <w:t>ó</w:t>
      </w:r>
      <w:r>
        <w:rPr>
          <w:rFonts w:ascii="Times New Roman" w:hAnsi="Times New Roman"/>
          <w:b/>
          <w:bCs/>
          <w:shd w:fill="FFFFFF" w:val="clear"/>
        </w:rPr>
        <w:t>w zwiększa się o kwotę 492 901,84 zł w poszczególnych rozdziałach z tytułu:</w:t>
      </w:r>
      <w:r>
        <w:rPr>
          <w:rFonts w:eastAsia="Times New Roman" w:cs="Times New Roman" w:ascii="Times New Roman" w:hAnsi="Times New Roman"/>
          <w:b/>
          <w:bCs/>
          <w:shd w:fill="FFFFFF" w:val="clear"/>
        </w:rPr>
        <w:br/>
      </w:r>
      <w:r>
        <w:rPr>
          <w:rFonts w:ascii="Times New Roman" w:hAnsi="Times New Roman"/>
          <w:shd w:fill="FFFFFF" w:val="clear"/>
          <w:lang w:val="ru-RU"/>
        </w:rPr>
        <w:t xml:space="preserve">- </w:t>
      </w:r>
      <w:r>
        <w:rPr>
          <w:rFonts w:ascii="Times New Roman" w:hAnsi="Times New Roman"/>
          <w:shd w:fill="FFFFFF" w:val="clear"/>
        </w:rPr>
        <w:t>dzierżaw obwodów łowieckich- 420,00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opłaty za zajęcie pasa drogowego- 12 800,00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refundacji z Powiatowego Urzędu Pracy- 21 000,00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dotacji celowej dla OSP- 40 000,00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podatku opłacanego w formie karty podatkowej- 2 200,00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podatku od czynności cywilno prawnych- 70 000,00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 za sprzedaż alkoholu w opakowaniach 300 ml- 9 000,00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subwencji oświatowej- 766,00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odsetek od lokat, zwrot części wydatków za 2021 rok dokonanych w ramach funduszu sołeckiego- 86 651,84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odsetki i kary- 16 064,00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opłat za korzystanie ze środowiska- 153 000,00 zł,</w:t>
      </w:r>
    </w:p>
    <w:p>
      <w:pPr>
        <w:pStyle w:val="Domylne"/>
        <w:bidi w:val="0"/>
        <w:spacing w:lineRule="auto" w:line="360" w:before="0" w:after="0"/>
        <w:ind w:left="240" w:right="0" w:hanging="0"/>
        <w:jc w:val="both"/>
        <w:rPr>
          <w:rFonts w:ascii="Times New Roman" w:hAnsi="Times New Roman" w:eastAsia="Times New Roman" w:cs="Times New Roman"/>
          <w:b/>
          <w:b/>
          <w:bCs/>
          <w:shd w:fill="FFFFFF" w:val="clear"/>
        </w:rPr>
      </w:pPr>
      <w:r>
        <w:rPr>
          <w:rFonts w:ascii="Times New Roman" w:hAnsi="Times New Roman"/>
          <w:b/>
          <w:bCs/>
          <w:shd w:fill="FFFFFF" w:val="clear"/>
        </w:rPr>
        <w:t>Plan wydatków zwiększa się o kwotę 984 991,84 zł w poszczególnych rozdziałach z tytułu:</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rozbudowa sieci wodociągowej- 50 100,00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usług- 40 000,00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przebudowy dróg gminnych- 50 750,84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dokumentacji na przebudowę dróg wewnętrznych- 300,00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wykupu gruntów pod drogi- 112 075, 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zakupu opału- 25 000,00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promocji gminy- 3 000,00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wyposażenia i szkolenia- 50 000,00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wynagrodzenia nauczycieli, pochodne od wynagrodzeń, opał oraz opłata za dożywienie- 131 766,00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zakup autobusu szkolnego- 300 000,00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realizacja lokalnej międzysektorowej polityki przeciwdziałania negatywnym skutkom spożywania alkoholu- 9 000,00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odbiór odpadów- 120 000,00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opał, budowa chodnika na działce w Kuleszce (fundusz sołecki)- 52 000,00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zakup opału- 41 000,00 zł;</w:t>
      </w:r>
    </w:p>
    <w:p>
      <w:pPr>
        <w:pStyle w:val="Domylne"/>
        <w:bidi w:val="0"/>
        <w:spacing w:lineRule="auto" w:line="360" w:before="0" w:after="0"/>
        <w:ind w:left="240" w:right="0" w:hanging="0"/>
        <w:jc w:val="both"/>
        <w:rPr>
          <w:rFonts w:ascii="Times New Roman" w:hAnsi="Times New Roman" w:eastAsia="Times New Roman" w:cs="Times New Roman"/>
          <w:b/>
          <w:b/>
          <w:bCs/>
          <w:shd w:fill="FFFFFF" w:val="clear"/>
        </w:rPr>
      </w:pPr>
      <w:r>
        <w:rPr>
          <w:rFonts w:ascii="Times New Roman" w:hAnsi="Times New Roman"/>
          <w:b/>
          <w:bCs/>
          <w:shd w:fill="FFFFFF" w:val="clear"/>
        </w:rPr>
        <w:t>Plan wydatków zm</w:t>
      </w:r>
      <w:r>
        <w:rPr>
          <w:rFonts w:ascii="Times New Roman" w:hAnsi="Times New Roman"/>
          <w:b/>
          <w:bCs/>
          <w:shd w:fill="FFFFFF" w:val="clear"/>
        </w:rPr>
        <w:t>nie</w:t>
      </w:r>
      <w:r>
        <w:rPr>
          <w:rFonts w:ascii="Times New Roman" w:hAnsi="Times New Roman"/>
          <w:b/>
          <w:bCs/>
          <w:shd w:fill="FFFFFF" w:val="clear"/>
        </w:rPr>
        <w:t xml:space="preserve">jsza się o kwotę 492 090,00 zł w poszczególnych paragrafach z tytułu: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przebudowy SUW w Łubach Kiertanach- 376 800,00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dofinansowania na budowę przydomowych oczyszczalni- 4 000,00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 dotacji dla powiatu- 86 360,00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usług oraz dofinansowań na budowę fotowoltaiki- 20 280,00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dotacji dla jednostek spoza sektora finansów publicznych- 4 650,00 zł</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Przewodnicząca zapytała jaka kwota jest przeznaczona na zakup autobusu?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Pani Wiktorzak wyjaśniła, że przed dokonaniem zmian kwota ta wynosiła 300 000,00 zł po dokonaniu zmian w budżecie zaplanowane jest na ten cel 600 000,00 zł.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eastAsia="Times New Roman" w:cs="Times New Roman" w:ascii="Times New Roman" w:hAnsi="Times New Roman"/>
          <w:shd w:fill="FFFFFF" w:val="clear"/>
        </w:rPr>
        <w:tab/>
        <w:t>U</w:t>
      </w:r>
      <w:r>
        <w:rPr>
          <w:rFonts w:ascii="Times New Roman" w:hAnsi="Times New Roman"/>
          <w:shd w:fill="FFFFFF" w:val="clear"/>
        </w:rPr>
        <w:t>wag do przedmiotowego projektu nie był</w:t>
      </w:r>
      <w:r>
        <w:rPr>
          <w:rFonts w:ascii="Times New Roman" w:hAnsi="Times New Roman"/>
          <w:shd w:fill="FFFFFF" w:val="clear"/>
          <w:lang w:val="it-IT"/>
        </w:rPr>
        <w:t>o. Naste</w:t>
      </w:r>
      <w:r>
        <w:rPr>
          <w:rFonts w:ascii="Times New Roman" w:hAnsi="Times New Roman"/>
          <w:shd w:fill="FFFFFF" w:val="clear"/>
        </w:rPr>
        <w:t>̨pnie Przewodnicząca poddała pod głosowanie jawne wniosek w sprawie pozytywnego zaopiniowania projektu uchwały. Na 3 osobowy skład Komisji w głosowaniu udział wzięło 3 członk</w:t>
      </w:r>
      <w:r>
        <w:rPr>
          <w:rFonts w:ascii="Times New Roman" w:hAnsi="Times New Roman"/>
          <w:shd w:fill="FFFFFF" w:val="clear"/>
          <w:lang w:val="es-ES_tradnl"/>
        </w:rPr>
        <w:t>ó</w:t>
      </w:r>
      <w:r>
        <w:rPr>
          <w:rFonts w:ascii="Times New Roman" w:hAnsi="Times New Roman"/>
          <w:shd w:fill="FFFFFF" w:val="clear"/>
        </w:rPr>
        <w:t>w. Za wyrażeniem pozytywnej opinii głosowało 3 członk</w:t>
      </w:r>
      <w:r>
        <w:rPr>
          <w:rFonts w:ascii="Times New Roman" w:hAnsi="Times New Roman"/>
          <w:shd w:fill="FFFFFF" w:val="clear"/>
          <w:lang w:val="es-ES_tradnl"/>
        </w:rPr>
        <w:t>ó</w:t>
      </w:r>
      <w:r>
        <w:rPr>
          <w:rFonts w:ascii="Times New Roman" w:hAnsi="Times New Roman"/>
          <w:shd w:fill="FFFFFF" w:val="clear"/>
        </w:rPr>
        <w:t>w, przeciw - 0, wstrzymał</w:t>
      </w:r>
      <w:r>
        <w:rPr>
          <w:rFonts w:ascii="Times New Roman" w:hAnsi="Times New Roman"/>
          <w:shd w:fill="FFFFFF" w:val="clear"/>
          <w:lang w:val="es-ES_tradnl"/>
        </w:rPr>
        <w:t>o sie</w:t>
      </w:r>
      <w:r>
        <w:rPr>
          <w:rFonts w:ascii="Times New Roman" w:hAnsi="Times New Roman"/>
          <w:shd w:fill="FFFFFF" w:val="clear"/>
        </w:rPr>
        <w:t xml:space="preserve">̨ od głosu - 0. Przewodnicząca stwierdziła, że Komisja pozytywnie zaopiniowała przedmiotowy projekt uchwały. </w:t>
      </w:r>
    </w:p>
    <w:p>
      <w:pPr>
        <w:pStyle w:val="Domylne"/>
        <w:bidi w:val="0"/>
        <w:spacing w:lineRule="auto" w:line="360" w:before="0" w:after="0"/>
        <w:ind w:left="240" w:right="0" w:hanging="0"/>
        <w:jc w:val="both"/>
        <w:rPr>
          <w:rFonts w:ascii="Times New Roman" w:hAnsi="Times New Roman" w:eastAsia="Times New Roman" w:cs="Times New Roman"/>
          <w:shd w:fill="FFFFFF" w:val="clear"/>
        </w:rPr>
      </w:pPr>
      <w:r>
        <w:rPr>
          <w:rFonts w:ascii="Times New Roman" w:hAnsi="Times New Roman"/>
          <w:shd w:fill="FFFFFF" w:val="clear"/>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b/>
          <w:bCs/>
        </w:rPr>
      </w:pPr>
      <w:r>
        <w:rPr>
          <w:rFonts w:eastAsia="Times New Roman" w:cs="Times New Roman" w:ascii="Times New Roman" w:hAnsi="Times New Roman"/>
          <w:b/>
          <w:bCs/>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Ad.4.c. </w:t>
      </w:r>
      <w:r>
        <w:rPr>
          <w:rFonts w:ascii="Times New Roman" w:hAnsi="Times New Roman"/>
          <w:b w:val="false"/>
          <w:bCs w:val="false"/>
        </w:rPr>
        <w:t xml:space="preserve">Następnie zajęto się rozpatrzeniem projektu uchwały w sprawie określenia stawki podatku od nieruchomości na 2023 rok. Pan Wójt przedstawił szczegółowo poszczególne kwoty podatków oraz maksymalne stawki na rok 2023. Komisja omówiła poszczególne stawki określając swoje stanowisko co do ich wysokości.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Po wyra</w:t>
      </w:r>
      <w:r>
        <w:rPr>
          <w:rFonts w:ascii="Times New Roman" w:hAnsi="Times New Roman"/>
          <w:b w:val="false"/>
          <w:bCs w:val="false"/>
        </w:rPr>
        <w:t>żeniu swoich opinii przewodnicząca poddała pod jawne głosownie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2 członk</w:t>
      </w:r>
      <w:r>
        <w:rPr>
          <w:rFonts w:ascii="Times New Roman" w:hAnsi="Times New Roman"/>
          <w:b w:val="false"/>
          <w:bCs w:val="false"/>
          <w:lang w:val="es-ES_tradnl"/>
        </w:rPr>
        <w:t>ó</w:t>
      </w:r>
      <w:r>
        <w:rPr>
          <w:rFonts w:ascii="Times New Roman" w:hAnsi="Times New Roman"/>
          <w:b w:val="false"/>
          <w:bCs w:val="false"/>
        </w:rPr>
        <w:t>w, przeciw - 1,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Projekt uchwały w załączeniu do protokołu.</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Ad.4.d.</w:t>
      </w:r>
      <w:r>
        <w:rPr>
          <w:rFonts w:ascii="Times New Roman" w:hAnsi="Times New Roman"/>
          <w:b w:val="false"/>
          <w:bCs w:val="false"/>
        </w:rPr>
        <w:t xml:space="preserve"> Punkt kolejny posiedzenia to rozpatrzenie projektu uchwały w sprawie określenia wysokości rocznych stawek od środków transportowych na 2023 rok. Pan Wójt przedstawił proponowane przez siebie stawki podatku wraz z maksymalnym stawkami na rok 2023. Komisja szczegółowo omówiła poszczególne punkty wraz z załącznikami określając swoje stanowisko.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 </w:t>
      </w:r>
      <w:r>
        <w:rPr>
          <w:rFonts w:ascii="Times New Roman" w:hAnsi="Times New Roman"/>
          <w:b w:val="false"/>
          <w:bCs w:val="false"/>
        </w:rPr>
        <w:tab/>
        <w:t>Po wyrażeniu swoich opinii przewodnicząca poddała pod jawne głosownie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2 członk</w:t>
      </w:r>
      <w:r>
        <w:rPr>
          <w:rFonts w:ascii="Times New Roman" w:hAnsi="Times New Roman"/>
          <w:b w:val="false"/>
          <w:bCs w:val="false"/>
          <w:lang w:val="es-ES_tradnl"/>
        </w:rPr>
        <w:t>ó</w:t>
      </w:r>
      <w:r>
        <w:rPr>
          <w:rFonts w:ascii="Times New Roman" w:hAnsi="Times New Roman"/>
          <w:b w:val="false"/>
          <w:bCs w:val="false"/>
        </w:rPr>
        <w:t>w, przeciw - 1,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Projekt uchwały w załączeniu do protokołu.</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Ad.4.e. </w:t>
      </w:r>
      <w:r>
        <w:rPr>
          <w:rFonts w:ascii="Times New Roman" w:hAnsi="Times New Roman"/>
          <w:b w:val="false"/>
          <w:bCs w:val="false"/>
        </w:rPr>
        <w:t>Punkt następny to rozpatrzenie projektu uchwały w sprawie wprowadzenia i określenia wysokości stawki prolongacyjnej. Pan Wójt wyjaśnił, iż opłata prolongacyjną jest to opłata wnoszona przez podatnika, któremu gmina jako organ podatkowy odroczyła termin płatności, rozłożyła na raty lub umorzyła. Wyjaśnił iż jest to procent od kwoty umorzenia wraz z odsetkami za zwłokę. Procent ten jest zmienny i zależy od  wysokości stopy lombardowej, która obowiązuje w momencie naliczania opłaty.</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Pyta</w:t>
      </w:r>
      <w:r>
        <w:rPr>
          <w:rFonts w:ascii="Times New Roman" w:hAnsi="Times New Roman"/>
          <w:b w:val="false"/>
          <w:bCs w:val="false"/>
        </w:rPr>
        <w:t>ń ani uwag do przedmiotowego projektu nie był</w:t>
      </w:r>
      <w:r>
        <w:rPr>
          <w:rFonts w:ascii="Times New Roman" w:hAnsi="Times New Roman"/>
          <w:b w:val="false"/>
          <w:bCs w:val="false"/>
          <w:lang w:val="it-IT"/>
        </w:rPr>
        <w:t>o. Naste</w:t>
      </w:r>
      <w:r>
        <w:rPr>
          <w:rFonts w:ascii="Times New Roman" w:hAnsi="Times New Roman"/>
          <w:b w:val="false"/>
          <w:bCs w:val="false"/>
        </w:rPr>
        <w:t>̨pnie Przewodnicząca poddała pod głosowanie jawne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3 członk</w:t>
      </w:r>
      <w:r>
        <w:rPr>
          <w:rFonts w:ascii="Times New Roman" w:hAnsi="Times New Roman"/>
          <w:b w:val="false"/>
          <w:bCs w:val="false"/>
          <w:lang w:val="es-ES_tradnl"/>
        </w:rPr>
        <w:t>ó</w:t>
      </w:r>
      <w:r>
        <w:rPr>
          <w:rFonts w:ascii="Times New Roman" w:hAnsi="Times New Roman"/>
          <w:b w:val="false"/>
          <w:bCs w:val="false"/>
        </w:rPr>
        <w:t>w, przeciw - 0,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r>
      <w:r>
        <w:rPr>
          <w:rFonts w:ascii="Times New Roman" w:hAnsi="Times New Roman"/>
          <w:b w:val="false"/>
          <w:bCs w:val="false"/>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Ad.4.f. </w:t>
      </w:r>
      <w:r>
        <w:rPr>
          <w:rFonts w:ascii="Times New Roman" w:hAnsi="Times New Roman"/>
          <w:b w:val="false"/>
          <w:bCs w:val="false"/>
        </w:rPr>
        <w:t xml:space="preserve">Punkt kolejny to rozpatrzenie projektu uchwały w sprawie określenia tygodniowego obowiązkowego wymiary godzin zajęć pedagogów, pedagogów specjalnych, logopedów, terapeutów pedagogicznych i doradców zawodowych. Pan Wójt wyjaśnił, iż zmiana jaka została wprowadzona do projektu uchwały jest określenie wymiaru godzin pracy pedagoga specjalnego na poziomie 22 godzin tygodniowo, pozostała część uchwały pozostaje w obecnym brzmieniu.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Pyta</w:t>
      </w:r>
      <w:r>
        <w:rPr>
          <w:rFonts w:ascii="Times New Roman" w:hAnsi="Times New Roman"/>
          <w:b w:val="false"/>
          <w:bCs w:val="false"/>
        </w:rPr>
        <w:t>ń ani uwag do przedmiotowego projektu nie był</w:t>
      </w:r>
      <w:r>
        <w:rPr>
          <w:rFonts w:ascii="Times New Roman" w:hAnsi="Times New Roman"/>
          <w:b w:val="false"/>
          <w:bCs w:val="false"/>
          <w:lang w:val="it-IT"/>
        </w:rPr>
        <w:t>o. Naste</w:t>
      </w:r>
      <w:r>
        <w:rPr>
          <w:rFonts w:ascii="Times New Roman" w:hAnsi="Times New Roman"/>
          <w:b w:val="false"/>
          <w:bCs w:val="false"/>
        </w:rPr>
        <w:t>̨pnie Przewodnicząca poddała pod głosowanie jawne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3 członk</w:t>
      </w:r>
      <w:r>
        <w:rPr>
          <w:rFonts w:ascii="Times New Roman" w:hAnsi="Times New Roman"/>
          <w:b w:val="false"/>
          <w:bCs w:val="false"/>
          <w:lang w:val="es-ES_tradnl"/>
        </w:rPr>
        <w:t>ó</w:t>
      </w:r>
      <w:r>
        <w:rPr>
          <w:rFonts w:ascii="Times New Roman" w:hAnsi="Times New Roman"/>
          <w:b w:val="false"/>
          <w:bCs w:val="false"/>
        </w:rPr>
        <w:t>w, przeciw - 0,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r>
      <w:r>
        <w:rPr>
          <w:rFonts w:ascii="Times New Roman" w:hAnsi="Times New Roman"/>
          <w:b w:val="false"/>
          <w:bCs w:val="false"/>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Ad.4.g. </w:t>
      </w:r>
      <w:r>
        <w:rPr>
          <w:rFonts w:ascii="Times New Roman" w:hAnsi="Times New Roman"/>
          <w:b w:val="false"/>
          <w:bCs w:val="false"/>
        </w:rPr>
        <w:t xml:space="preserve">Punkt kolejny posiedzenia to rozpatrzenie projektu uchwały w sprawie pokrycia części kosztów gospodarowania odpadami komunalnymi z dochodów własnych gminy niepochodzących z pobranej opłaty za gospodarowanie odpadami komunalnymi. Pan Wójt wyjaśnił iż w dniu 18 lipca 2022 roku firma która zajmuje się na terenie gminy odbiorem odpadów komunalnych od mieszkańców zwróciła się z prośbą o podwyższenie wynagrodzenie, prośbę motywowała wzrostem kosztów zagospodarowanie odbieranymi odpadami  (rosnącą ceną paliw, kosztów pracowniczych). Wzrost wynagrodzenia o jakie prosi wykonawca to 9,7%, czyli 79 560,12 zł brutto. Koszt zagospodarowania 1 Mg przed podwyżką to 977,94 zł brutto po podwyżce 1 340,51 zł brutto. Po nowelizacji ustawy o utrzymaniu czystości i porządku w gminach, która weszła w życie 23 września 2021 roku możliwe jest pokrycie kosztów gospodarowania odpadami komunalnymi z środków własnych gminy, niepochodzących z pobieranej opłaty za gospodarowanie odpadami.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Radny </w:t>
      </w:r>
      <w:r>
        <w:rPr>
          <w:rFonts w:ascii="Times New Roman" w:hAnsi="Times New Roman"/>
          <w:b w:val="false"/>
          <w:bCs w:val="false"/>
        </w:rPr>
        <w:t xml:space="preserve">S. </w:t>
      </w:r>
      <w:r>
        <w:rPr>
          <w:rFonts w:ascii="Times New Roman" w:hAnsi="Times New Roman"/>
          <w:b w:val="false"/>
          <w:bCs w:val="false"/>
        </w:rPr>
        <w:t xml:space="preserve">Kamienowski zapytał do kiedy obowiązuje obecna umowa.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Wójt poinformował, iż obecna umowa obowiązuje do końca tego roku.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t>U</w:t>
      </w:r>
      <w:r>
        <w:rPr>
          <w:rFonts w:ascii="Times New Roman" w:hAnsi="Times New Roman"/>
          <w:b w:val="false"/>
          <w:bCs w:val="false"/>
        </w:rPr>
        <w:t>wag do przedmiotowego projektu nie był</w:t>
      </w:r>
      <w:r>
        <w:rPr>
          <w:rFonts w:ascii="Times New Roman" w:hAnsi="Times New Roman"/>
          <w:b w:val="false"/>
          <w:bCs w:val="false"/>
          <w:lang w:val="it-IT"/>
        </w:rPr>
        <w:t>o. Naste</w:t>
      </w:r>
      <w:r>
        <w:rPr>
          <w:rFonts w:ascii="Times New Roman" w:hAnsi="Times New Roman"/>
          <w:b w:val="false"/>
          <w:bCs w:val="false"/>
        </w:rPr>
        <w:t>̨pnie Przewodnicząca poddała pod głosowanie jawne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3 członk</w:t>
      </w:r>
      <w:r>
        <w:rPr>
          <w:rFonts w:ascii="Times New Roman" w:hAnsi="Times New Roman"/>
          <w:b w:val="false"/>
          <w:bCs w:val="false"/>
          <w:lang w:val="es-ES_tradnl"/>
        </w:rPr>
        <w:t>ó</w:t>
      </w:r>
      <w:r>
        <w:rPr>
          <w:rFonts w:ascii="Times New Roman" w:hAnsi="Times New Roman"/>
          <w:b w:val="false"/>
          <w:bCs w:val="false"/>
        </w:rPr>
        <w:t>w, przeciw - 0,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Przewodnicząca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r>
      <w:r>
        <w:rPr>
          <w:rFonts w:ascii="Times New Roman" w:hAnsi="Times New Roman"/>
          <w:b w:val="false"/>
          <w:bCs w:val="false"/>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b/>
          <w:bCs/>
        </w:rPr>
      </w:pPr>
      <w:r>
        <w:rPr>
          <w:rFonts w:ascii="Times New Roman" w:hAnsi="Times New Roman"/>
          <w:b/>
          <w:bCs/>
        </w:rPr>
        <w:t>Ad.4.h.</w:t>
      </w:r>
      <w:r>
        <w:rPr>
          <w:rFonts w:ascii="Times New Roman" w:hAnsi="Times New Roman"/>
          <w:b w:val="false"/>
          <w:bCs w:val="false"/>
        </w:rPr>
        <w:t xml:space="preserve">Punkt kolejny to rozpatrzenie projektu uchwały dotyczącej rozpatrzenia petycji, która wpłynęła do gminy dotyczącej utworzenia Młodzieżowej Rady Gminy. Przewodniczący Rady poinformował, że petycją zajmowała się Komisja Skarg Wniosków i Petycji. Zdaniem komisji petycja nie zasługuje na uwzględnienie, ponieważ została złożona przez osobę nie zamieszkującą na terenie gminy Miastkowo. Członkowie Komisji jednogłośnie stwierdzili, iż petycja nie zasługuje na uwzględnienie.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bCs/>
        </w:rPr>
        <w:tab/>
      </w:r>
      <w:r>
        <w:rPr>
          <w:rFonts w:ascii="Times New Roman" w:hAnsi="Times New Roman"/>
          <w:b w:val="false"/>
          <w:bCs w:val="false"/>
        </w:rPr>
        <w:t>Pytań ani uwag do przedmiotowego projektu nie był</w:t>
      </w:r>
      <w:r>
        <w:rPr>
          <w:rFonts w:ascii="Times New Roman" w:hAnsi="Times New Roman"/>
          <w:b w:val="false"/>
          <w:bCs w:val="false"/>
          <w:lang w:val="it-IT"/>
        </w:rPr>
        <w:t>o. Naste</w:t>
      </w:r>
      <w:r>
        <w:rPr>
          <w:rFonts w:ascii="Times New Roman" w:hAnsi="Times New Roman"/>
          <w:b w:val="false"/>
          <w:bCs w:val="false"/>
        </w:rPr>
        <w:t>̨pnie Przewodnicząca poddała pod głosowanie jawne wniosek w sprawie pozytywnego zaopiniowania projektu uchwały. Na 3 osobowy skład Komisji w głosowaniu udział wzięło 3 członk</w:t>
      </w:r>
      <w:r>
        <w:rPr>
          <w:rFonts w:ascii="Times New Roman" w:hAnsi="Times New Roman"/>
          <w:b w:val="false"/>
          <w:bCs w:val="false"/>
          <w:lang w:val="es-ES_tradnl"/>
        </w:rPr>
        <w:t>ó</w:t>
      </w:r>
      <w:r>
        <w:rPr>
          <w:rFonts w:ascii="Times New Roman" w:hAnsi="Times New Roman"/>
          <w:b w:val="false"/>
          <w:bCs w:val="false"/>
        </w:rPr>
        <w:t>w. Za wyrażeniem pozytywnej opinii głosowało 3 członk</w:t>
      </w:r>
      <w:r>
        <w:rPr>
          <w:rFonts w:ascii="Times New Roman" w:hAnsi="Times New Roman"/>
          <w:b w:val="false"/>
          <w:bCs w:val="false"/>
          <w:lang w:val="es-ES_tradnl"/>
        </w:rPr>
        <w:t>ó</w:t>
      </w:r>
      <w:r>
        <w:rPr>
          <w:rFonts w:ascii="Times New Roman" w:hAnsi="Times New Roman"/>
          <w:b w:val="false"/>
          <w:bCs w:val="false"/>
        </w:rPr>
        <w:t>w, przeciw - 0, wstrzymał</w:t>
      </w:r>
      <w:r>
        <w:rPr>
          <w:rFonts w:ascii="Times New Roman" w:hAnsi="Times New Roman"/>
          <w:b w:val="false"/>
          <w:bCs w:val="false"/>
          <w:lang w:val="es-ES_tradnl"/>
        </w:rPr>
        <w:t>o sie</w:t>
      </w:r>
      <w:r>
        <w:rPr>
          <w:rFonts w:ascii="Times New Roman" w:hAnsi="Times New Roman"/>
          <w:b w:val="false"/>
          <w:bCs w:val="false"/>
        </w:rPr>
        <w:t xml:space="preserve">̨ od głosu - 0. Przewodnicząca stwierdziła, że Komisja pozytywnie zaopiniowała przedmiotowy projekt uchwały.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tab/>
      </w:r>
      <w:r>
        <w:rPr>
          <w:rFonts w:ascii="Times New Roman" w:hAnsi="Times New Roman"/>
          <w:b w:val="false"/>
          <w:bCs w:val="false"/>
        </w:rPr>
        <w:t xml:space="preserve">Projekt uchwały w załączeniu do protokołu.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eastAsia="Times New Roman" w:cs="Times New Roman" w:ascii="Times New Roman" w:hAnsi="Times New Roman"/>
          <w:b w:val="false"/>
          <w:bCs w:val="false"/>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bCs/>
        </w:rPr>
        <w:t xml:space="preserve">Ad.5. </w:t>
      </w:r>
      <w:r>
        <w:rPr>
          <w:rFonts w:ascii="Times New Roman" w:hAnsi="Times New Roman"/>
          <w:b w:val="false"/>
          <w:bCs w:val="false"/>
        </w:rPr>
        <w:t xml:space="preserve">Punkt kolejny posiedzenia to sprawozdanie z działaności komisji za I półrocze 2022 rok.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Przewodnicząca przedstawiła sprawozdanie. Członkowie komisji nie mieli pytań ani uwag do sporządzonego sprawozdania.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rPr>
      </w:pPr>
      <w:r>
        <w:rPr>
          <w:rFonts w:ascii="Times New Roman" w:hAnsi="Times New Roman"/>
          <w:b w:val="false"/>
          <w:bCs w:val="false"/>
        </w:rPr>
        <w:t xml:space="preserve">Sprawozdanie w załączniku do protokołu.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hd w:fill="FFFFFF" w:val="clear"/>
        </w:rPr>
      </w:pPr>
      <w:r>
        <w:rPr>
          <w:rFonts w:eastAsia="Times New Roman" w:cs="Times New Roman" w:ascii="Times New Roman" w:hAnsi="Times New Roman"/>
          <w:b w:val="false"/>
          <w:bCs w:val="false"/>
          <w:shd w:fill="FFFFFF" w:val="clear"/>
        </w:rPr>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hd w:fill="FFFFFF" w:val="clear"/>
        </w:rPr>
      </w:pPr>
      <w:r>
        <w:rPr>
          <w:rFonts w:ascii="Times New Roman" w:hAnsi="Times New Roman"/>
          <w:b/>
          <w:bCs/>
          <w:shd w:fill="FFFFFF" w:val="clear"/>
        </w:rPr>
        <w:t xml:space="preserve">Ad. 6. </w:t>
      </w:r>
      <w:r>
        <w:rPr>
          <w:rFonts w:ascii="Times New Roman" w:hAnsi="Times New Roman"/>
          <w:b w:val="false"/>
          <w:bCs w:val="false"/>
          <w:shd w:fill="FFFFFF" w:val="clear"/>
        </w:rPr>
        <w:t xml:space="preserve">Wolne wnioski.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hd w:fill="FFFFFF" w:val="clear"/>
        </w:rPr>
      </w:pPr>
      <w:r>
        <w:rPr>
          <w:rFonts w:ascii="Times New Roman" w:hAnsi="Times New Roman"/>
          <w:b w:val="false"/>
          <w:bCs w:val="false"/>
          <w:shd w:fill="FFFFFF" w:val="clear"/>
        </w:rPr>
        <w:t xml:space="preserve">Nie poruszano żadnych spraw w wolnych wnioskach. </w:t>
      </w:r>
    </w:p>
    <w:p>
      <w:pPr>
        <w:pStyle w:val="Domylne"/>
        <w:bidi w:val="0"/>
        <w:spacing w:lineRule="auto" w:line="360" w:before="0" w:after="0"/>
        <w:ind w:left="0" w:right="0" w:hanging="0"/>
        <w:jc w:val="both"/>
        <w:rPr>
          <w:rFonts w:ascii="Times New Roman" w:hAnsi="Times New Roman" w:eastAsia="Times New Roman" w:cs="Times New Roman"/>
          <w:b w:val="false"/>
          <w:b w:val="false"/>
          <w:bCs w:val="false"/>
          <w:sz w:val="32"/>
          <w:szCs w:val="32"/>
          <w:shd w:fill="FFFFFF" w:val="clear"/>
        </w:rPr>
      </w:pPr>
      <w:r>
        <w:rPr>
          <w:rFonts w:eastAsia="Times New Roman" w:cs="Times New Roman" w:ascii="Times New Roman" w:hAnsi="Times New Roman"/>
          <w:b w:val="false"/>
          <w:bCs w:val="false"/>
          <w:sz w:val="32"/>
          <w:szCs w:val="32"/>
          <w:shd w:fill="FFFFFF" w:val="clear"/>
        </w:rPr>
      </w:r>
    </w:p>
    <w:p>
      <w:pPr>
        <w:pStyle w:val="Domylne"/>
        <w:bidi w:val="0"/>
        <w:spacing w:lineRule="auto" w:line="360" w:before="0" w:after="0"/>
        <w:ind w:left="0" w:right="0" w:hanging="0"/>
        <w:jc w:val="both"/>
        <w:rPr>
          <w:sz w:val="24"/>
          <w:szCs w:val="24"/>
        </w:rPr>
      </w:pPr>
      <w:r>
        <w:rPr>
          <w:rFonts w:ascii="Times New Roman" w:hAnsi="Times New Roman"/>
          <w:b/>
          <w:bCs/>
          <w:sz w:val="24"/>
          <w:szCs w:val="24"/>
          <w:shd w:fill="FFFFFF" w:val="clear"/>
        </w:rPr>
        <w:t>Protokołowała :                                                              Przewodnicząca Komisji</w:t>
      </w:r>
    </w:p>
    <w:p>
      <w:pPr>
        <w:pStyle w:val="Domylne"/>
        <w:bidi w:val="0"/>
        <w:spacing w:lineRule="auto" w:line="360" w:before="0" w:after="0"/>
        <w:ind w:left="0" w:right="0" w:hanging="0"/>
        <w:jc w:val="both"/>
        <w:rPr>
          <w:sz w:val="24"/>
          <w:szCs w:val="24"/>
        </w:rPr>
      </w:pPr>
      <w:r>
        <w:rPr>
          <w:rFonts w:ascii="Times New Roman" w:hAnsi="Times New Roman"/>
          <w:b/>
          <w:bCs/>
          <w:sz w:val="24"/>
          <w:szCs w:val="24"/>
          <w:shd w:fill="FFFFFF" w:val="clear"/>
        </w:rPr>
        <w:t xml:space="preserve">Patrycja Zaremba  </w:t>
        <w:tab/>
        <w:tab/>
        <w:tab/>
        <w:tab/>
        <w:tab/>
        <w:tab/>
        <w:t xml:space="preserve">  Patrycja Zaremba</w:t>
      </w:r>
    </w:p>
    <w:sectPr>
      <w:headerReference w:type="default" r:id="rId2"/>
      <w:footerReference w:type="default" r:id="rId3"/>
      <w:type w:val="nextPage"/>
      <w:pgSz w:w="11906" w:h="16838"/>
      <w:pgMar w:left="1134" w:right="1134" w:gutter="0" w:header="709" w:top="1134" w:footer="85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Helvetica Neue">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1080" w:hanging="360"/>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800" w:hanging="360"/>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2520" w:hanging="360"/>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3240" w:hanging="360"/>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3960" w:hanging="360"/>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4680" w:hanging="360"/>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5400" w:hanging="360"/>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6120" w:hanging="360"/>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3">
    <w:lvl w:ilvl="0">
      <w:start w:val="1"/>
      <w:numFmt w:val="lowerLetter"/>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lowerLetter"/>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lowerLetter"/>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lowerLetter"/>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lowerLetter"/>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lowerLetter"/>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lowerLetter"/>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lowerLetter"/>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lowerLetter"/>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4">
    <w:lvl w:ilvl="0">
      <w:start w:val="1"/>
      <w:numFmt w:val="decimal"/>
      <w:lvlText w:val="%1."/>
      <w:lvlJc w:val="left"/>
      <w:pPr>
        <w:tabs>
          <w:tab w:val="num" w:pos="0"/>
        </w:tabs>
        <w:ind w:left="360" w:hanging="360"/>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1080" w:hanging="360"/>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800" w:hanging="360"/>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2520" w:hanging="360"/>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3240" w:hanging="360"/>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3960" w:hanging="360"/>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4680" w:hanging="360"/>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5400" w:hanging="360"/>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6120" w:hanging="360"/>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5">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6">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abstractNum>
  <w:abstractNum w:abstractNumId="7">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2"/>
    <w:lvlOverride w:ilvl="0">
      <w:startOverride w:val="1"/>
    </w:lvlOverride>
  </w:num>
  <w:num w:numId="9">
    <w:abstractNumId w:val="3"/>
    <w:lvlOverride w:ilvl="0">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1">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2">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3">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4">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5">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6">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7">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8">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lvlOverride>
  </w:num>
  <w:num w:numId="10">
    <w:abstractNumId w:val="3"/>
    <w:lvlOverride w:ilvl="0">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1">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2">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3">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4">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5">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6">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7">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8">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lvlOverride>
  </w:num>
  <w:num w:numId="11">
    <w:abstractNumId w:val="3"/>
    <w:lvlOverride w:ilvl="0">
      <w:lvl w:ilvl="0">
        <w:start w:val="1"/>
        <w:numFmt w:val="decimal"/>
        <w:lvlText w:val="%1)"/>
        <w:lvlJc w:val="left"/>
        <w:pPr>
          <w:tabs>
            <w:tab w:val="num" w:pos="0"/>
          </w:tabs>
          <w:ind w:left="39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1">
      <w:lvl w:ilvl="1">
        <w:start w:val="1"/>
        <w:numFmt w:val="decimal"/>
        <w:lvlText w:val="%2)"/>
        <w:lvlJc w:val="left"/>
        <w:pPr>
          <w:tabs>
            <w:tab w:val="num" w:pos="0"/>
          </w:tabs>
          <w:ind w:left="75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2">
      <w:lvl w:ilvl="2">
        <w:start w:val="1"/>
        <w:numFmt w:val="decimal"/>
        <w:lvlText w:val="%3)"/>
        <w:lvlJc w:val="left"/>
        <w:pPr>
          <w:tabs>
            <w:tab w:val="num" w:pos="0"/>
          </w:tabs>
          <w:ind w:left="111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3">
      <w:lvl w:ilvl="3">
        <w:start w:val="1"/>
        <w:numFmt w:val="decimal"/>
        <w:lvlText w:val="%4)"/>
        <w:lvlJc w:val="left"/>
        <w:pPr>
          <w:tabs>
            <w:tab w:val="num" w:pos="0"/>
          </w:tabs>
          <w:ind w:left="147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4">
      <w:lvl w:ilvl="4">
        <w:start w:val="1"/>
        <w:numFmt w:val="decimal"/>
        <w:lvlText w:val="%5)"/>
        <w:lvlJc w:val="left"/>
        <w:pPr>
          <w:tabs>
            <w:tab w:val="num" w:pos="0"/>
          </w:tabs>
          <w:ind w:left="183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5">
      <w:lvl w:ilvl="5">
        <w:start w:val="1"/>
        <w:numFmt w:val="decimal"/>
        <w:lvlText w:val="%6)"/>
        <w:lvlJc w:val="left"/>
        <w:pPr>
          <w:tabs>
            <w:tab w:val="num" w:pos="0"/>
          </w:tabs>
          <w:ind w:left="219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6">
      <w:lvl w:ilvl="6">
        <w:start w:val="1"/>
        <w:numFmt w:val="decimal"/>
        <w:lvlText w:val="%7)"/>
        <w:lvlJc w:val="left"/>
        <w:pPr>
          <w:tabs>
            <w:tab w:val="num" w:pos="0"/>
          </w:tabs>
          <w:ind w:left="255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7">
      <w:lvl w:ilvl="7">
        <w:start w:val="1"/>
        <w:numFmt w:val="decimal"/>
        <w:lvlText w:val="%8)"/>
        <w:lvlJc w:val="left"/>
        <w:pPr>
          <w:tabs>
            <w:tab w:val="num" w:pos="0"/>
          </w:tabs>
          <w:ind w:left="2913" w:hanging="393"/>
        </w:pPr>
        <w:rPr>
          <w:smallCaps w:val="false"/>
          <w:caps w:val="false"/>
          <w:outline w:val="false"/>
          <w:dstrike w:val="false"/>
          <w:strike w:val="false"/>
          <w:vertAlign w:val="baseline"/>
          <w:position w:val="0"/>
          <w:sz w:val="20"/>
          <w:sz w:val="20"/>
          <w:spacing w:val="0"/>
          <w:kern w:val="0"/>
          <w:w w:val="100"/>
          <w:emboss w:val="false"/>
          <w:imprint w:val="false"/>
        </w:rPr>
      </w:lvl>
    </w:lvlOverride>
    <w:lvlOverride w:ilvl="8">
      <w:lvl w:ilvl="8">
        <w:start w:val="1"/>
        <w:numFmt w:val="decimal"/>
        <w:lvlText w:val="%9)"/>
        <w:lvlJc w:val="left"/>
        <w:pPr>
          <w:tabs>
            <w:tab w:val="num" w:pos="0"/>
          </w:tabs>
          <w:ind w:left="3273" w:hanging="393"/>
        </w:pPr>
        <w:rPr>
          <w:smallCaps w:val="false"/>
          <w:caps w:val="false"/>
          <w:outline w:val="false"/>
          <w:dstrike w:val="false"/>
          <w:strike w:val="false"/>
          <w:vertAlign w:val="baseline"/>
          <w:position w:val="0"/>
          <w:sz w:val="20"/>
          <w:sz w:val="20"/>
          <w:spacing w:val="0"/>
          <w:kern w:val="0"/>
          <w:w w:val="100"/>
          <w:emboss w:val="false"/>
          <w:imprint w:val="false"/>
        </w:rPr>
      </w:lvl>
    </w:lvlOverride>
  </w:num>
</w:numbering>
</file>

<file path=word/settings.xml><?xml version="1.0" encoding="utf-8"?>
<w:settings xmlns:w="http://schemas.openxmlformats.org/wordprocessingml/2006/main">
  <w:zoom w:percent="99"/>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suppressAutoHyphens w:val="true"/>
      </w:pPr>
    </w:pPrDefault>
  </w:docDefaults>
  <w:style w:type="paragraph" w:styleId="Normal" w:default="1">
    <w:name w:val="Normal"/>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val="en-US" w:eastAsia="en-US" w:bidi="ar-SA"/>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next w:val="Tre"/>
    <w:qFormat/>
    <w:pPr>
      <w:keepNext w:val="true"/>
      <w:keepLines w:val="false"/>
      <w:pageBreakBefore w:val="false"/>
      <w:widowControl/>
      <w:shd w:val="clear" w:color="auto" w:fill="auto"/>
      <w:suppressAutoHyphens w:val="false"/>
      <w:bidi w:val="0"/>
      <w:spacing w:lineRule="auto" w:line="240" w:beforeAutospacing="0" w:before="0" w:afterAutospacing="0" w:after="0"/>
      <w:ind w:left="0" w:right="0" w:hanging="0"/>
      <w:jc w:val="left"/>
      <w:outlineLvl w:val="0"/>
    </w:pPr>
    <w:rPr>
      <w:rFonts w:ascii="Helvetica Neue" w:hAnsi="Helvetica Neue" w:eastAsia="Arial Unicode MS" w:cs="Arial Unicode MS"/>
      <w:b/>
      <w:bCs/>
      <w:i w:val="false"/>
      <w:iCs w:val="false"/>
      <w:caps w:val="false"/>
      <w:smallCaps w:val="false"/>
      <w:strike w:val="false"/>
      <w:dstrike w:val="false"/>
      <w:outline w:val="false"/>
      <w:emboss w:val="false"/>
      <w:imprint w:val="false"/>
      <w:vanish w:val="false"/>
      <w:color w:val="000000"/>
      <w:spacing w:val="0"/>
      <w:w w:val="100"/>
      <w:kern w:val="0"/>
      <w:position w:val="0"/>
      <w:sz w:val="36"/>
      <w:sz w:val="36"/>
      <w:szCs w:val="36"/>
      <w:u w:val="none" w:color="FFFFFF"/>
      <w:shd w:fill="auto" w:val="clear"/>
      <w:vertAlign w:val="baseline"/>
      <w:lang w:val="pl-PL" w:eastAsia="zh-CN" w:bidi="hi-IN"/>
      <w14:textOutline>
        <w14:noFill/>
      </w14:textOutline>
      <w14:textFill>
        <w14:solidFill>
          <w14:srgbClr w14:val="000000"/>
        </w14:solidFill>
      </w14:textFill>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lang w:val="zxx" w:eastAsia="zxx" w:bidi="zxx"/>
    </w:rPr>
  </w:style>
  <w:style w:type="paragraph" w:styleId="Tre">
    <w:name w:val="Treść"/>
    <w:qFormat/>
    <w:pPr>
      <w:keepNext w:val="false"/>
      <w:keepLines w:val="false"/>
      <w:pageBreakBefore w:val="false"/>
      <w:widowControl/>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shd w:fill="auto" w:val="clear"/>
      <w:vertAlign w:val="baseline"/>
      <w:lang w:val="pl-PL" w:eastAsia="zh-CN" w:bidi="hi-IN"/>
      <w14:textOutline>
        <w14:noFill/>
      </w14:textOutline>
      <w14:textFill>
        <w14:solidFill>
          <w14:srgbClr w14:val="000000"/>
        </w14:solidFill>
      </w14:textFill>
    </w:rPr>
  </w:style>
  <w:style w:type="paragraph" w:styleId="Domylne">
    <w:name w:val="Domyślne"/>
    <w:qFormat/>
    <w:pPr>
      <w:keepNext w:val="false"/>
      <w:keepLines w:val="false"/>
      <w:pageBreakBefore w:val="false"/>
      <w:widowControl/>
      <w:shd w:val="clear" w:color="auto" w:fill="auto"/>
      <w:suppressAutoHyphens w:val="false"/>
      <w:bidi w:val="0"/>
      <w:spacing w:lineRule="auto" w:line="240" w:beforeAutospacing="0" w:before="160" w:afterAutospacing="0" w:after="0"/>
      <w:ind w:left="0" w:right="0" w:hanging="0"/>
      <w:jc w:val="left"/>
    </w:pPr>
    <w:rPr>
      <w:rFonts w:ascii="Helvetica Neue" w:hAnsi="Helvetica Neue" w:eastAsia="Helvetica Neue" w:cs="Helvetica Neue"/>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4"/>
      <w:sz w:val="24"/>
      <w:szCs w:val="24"/>
      <w:u w:val="none" w:color="FFFFFF"/>
      <w:shd w:fill="auto" w:val="clear"/>
      <w:vertAlign w:val="baseline"/>
      <w:lang w:val="pl-PL" w:eastAsia="zh-CN" w:bidi="hi-IN"/>
      <w14:textOutline>
        <w14:noFill/>
      </w14:textOutline>
      <w14:textFill>
        <w14:solidFill>
          <w14:srgbClr w14:val="000000"/>
        </w14:solidFill>
      </w14:textFill>
    </w:rPr>
  </w:style>
  <w:style w:type="paragraph" w:styleId="Gwkaistopka">
    <w:name w:val="Główka i stopka"/>
    <w:basedOn w:val="Normal"/>
    <w:qFormat/>
    <w:pPr/>
    <w:rPr/>
  </w:style>
  <w:style w:type="paragraph" w:styleId="Gwka">
    <w:name w:val="Header"/>
    <w:basedOn w:val="Gwkaistopka"/>
    <w:pPr/>
    <w:rPr/>
  </w:style>
  <w:style w:type="paragraph" w:styleId="Stopka">
    <w:name w:val="Footer"/>
    <w:basedOn w:val="Gwkaistopka"/>
    <w:pPr/>
    <w:rPr/>
  </w:style>
  <w:style w:type="numbering" w:styleId="NoList" w:default="1">
    <w:name w:val="No List"/>
    <w:qFormat/>
  </w:style>
  <w:style w:type="numbering" w:styleId="Litery">
    <w:name w:val="Litery"/>
    <w:qFormat/>
  </w:style>
  <w:style w:type="table" w:default="1" w:styleId="Table Normal">
    <w:name w:val="Table Normal"/>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228</TotalTime>
  <Application>LibreOffice/7.2.2.2$Windows_X86_64 LibreOffice_project/02b2acce88a210515b4a5bb2e46cbfb63fe97d56</Application>
  <AppVersion>15.0000</AppVersion>
  <Pages>8</Pages>
  <Words>2291</Words>
  <Characters>13689</Characters>
  <CharactersWithSpaces>15999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cp:lastPrinted>2022-10-19T10:27:30Z</cp:lastPrinted>
  <dcterms:modified xsi:type="dcterms:W3CDTF">2022-10-19T10:35:35Z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