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gwek"/>
        <w:tabs>
          <w:tab w:val="clear" w:pos="720"/>
          <w:tab w:val="left" w:pos="576" w:leader="none"/>
        </w:tabs>
        <w:spacing w:lineRule="auto" w:line="360"/>
        <w:jc w:val="center"/>
        <w:rPr>
          <w:sz w:val="24"/>
          <w:szCs w:val="24"/>
        </w:rPr>
      </w:pPr>
      <w:r>
        <w:rPr>
          <w:rFonts w:ascii="Times New Roman" w:hAnsi="Times New Roman"/>
          <w:sz w:val="24"/>
          <w:szCs w:val="24"/>
        </w:rPr>
        <w:t>Protokół Nr 30/22</w:t>
      </w:r>
      <w:r>
        <w:rPr>
          <w:rFonts w:eastAsia="Times New Roman" w:cs="Times New Roman" w:ascii="Times New Roman" w:hAnsi="Times New Roman"/>
          <w:sz w:val="24"/>
          <w:szCs w:val="24"/>
        </w:rPr>
        <w:br/>
      </w:r>
      <w:r>
        <w:rPr>
          <w:rFonts w:ascii="Times New Roman" w:hAnsi="Times New Roman"/>
          <w:sz w:val="24"/>
          <w:szCs w:val="24"/>
        </w:rPr>
        <w:t xml:space="preserve">Komisji Rolnictwa, Rozwoju Gospodarczego, </w:t>
        <w:br/>
        <w:t xml:space="preserve">Kultury i Sportu Rady Gminy Miastkowo </w:t>
      </w:r>
    </w:p>
    <w:p>
      <w:pPr>
        <w:pStyle w:val="Nagwek"/>
        <w:tabs>
          <w:tab w:val="clear" w:pos="720"/>
          <w:tab w:val="left" w:pos="576" w:leader="none"/>
        </w:tabs>
        <w:spacing w:lineRule="auto" w:line="360"/>
        <w:jc w:val="center"/>
        <w:rPr>
          <w:sz w:val="24"/>
          <w:szCs w:val="24"/>
        </w:rPr>
      </w:pPr>
      <w:r>
        <w:rPr>
          <w:rFonts w:ascii="Times New Roman" w:hAnsi="Times New Roman"/>
          <w:sz w:val="24"/>
          <w:szCs w:val="24"/>
        </w:rPr>
        <w:t xml:space="preserve">z dnia 28 listopada 2022 r. </w:t>
      </w:r>
    </w:p>
    <w:p>
      <w:pPr>
        <w:pStyle w:val="Domylne"/>
        <w:bidi w:val="0"/>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r>
      <w:r>
        <w:rPr>
          <w:rFonts w:ascii="Times New Roman" w:hAnsi="Times New Roman"/>
          <w:sz w:val="24"/>
          <w:szCs w:val="24"/>
        </w:rPr>
        <w:t>Posiedzenie Komisji odbył</w:t>
      </w:r>
      <w:r>
        <w:rPr>
          <w:rFonts w:ascii="Times New Roman" w:hAnsi="Times New Roman"/>
          <w:sz w:val="24"/>
          <w:szCs w:val="24"/>
          <w:lang w:val="es-ES_tradnl"/>
        </w:rPr>
        <w:t>o sie</w:t>
      </w:r>
      <w:r>
        <w:rPr>
          <w:rFonts w:ascii="Times New Roman" w:hAnsi="Times New Roman"/>
          <w:sz w:val="24"/>
          <w:szCs w:val="24"/>
        </w:rPr>
        <w:t xml:space="preserve">̨ dnia 28 listopada 2022 r. w lokalu Urzędu Gminy </w:t>
        <w:br/>
        <w:t>Miastkowo ul. Ł</w:t>
      </w:r>
      <w:r>
        <w:rPr>
          <w:rFonts w:ascii="Times New Roman" w:hAnsi="Times New Roman"/>
          <w:sz w:val="24"/>
          <w:szCs w:val="24"/>
          <w:lang w:val="nl-NL"/>
        </w:rPr>
        <w:t>omz</w:t>
      </w:r>
      <w:r>
        <w:rPr>
          <w:rFonts w:ascii="Times New Roman" w:hAnsi="Times New Roman"/>
          <w:sz w:val="24"/>
          <w:szCs w:val="24"/>
        </w:rPr>
        <w:t>̇yńska 32 - pok. 17 w godz. 8</w:t>
      </w:r>
      <w:r>
        <w:rPr>
          <w:rFonts w:ascii="Times New Roman" w:hAnsi="Times New Roman"/>
          <w:sz w:val="24"/>
          <w:szCs w:val="24"/>
          <w:vertAlign w:val="superscript"/>
        </w:rPr>
        <w:t>30</w:t>
      </w:r>
      <w:r>
        <w:rPr>
          <w:rFonts w:ascii="Times New Roman" w:hAnsi="Times New Roman"/>
          <w:sz w:val="24"/>
          <w:szCs w:val="24"/>
        </w:rPr>
        <w:t xml:space="preserve"> - 10</w:t>
      </w:r>
      <w:r>
        <w:rPr>
          <w:rFonts w:ascii="Times New Roman" w:hAnsi="Times New Roman"/>
          <w:sz w:val="24"/>
          <w:szCs w:val="24"/>
          <w:vertAlign w:val="superscript"/>
        </w:rPr>
        <w:t>10</w:t>
      </w:r>
      <w:r>
        <w:rPr>
          <w:rFonts w:ascii="Times New Roman" w:hAnsi="Times New Roman"/>
          <w:sz w:val="24"/>
          <w:szCs w:val="24"/>
        </w:rPr>
        <w:t xml:space="preserve"> Posiedzenie prowadziła Przewodnicząca Komisji Patrycja Zaremba. Na 3 osobowy skład Komisji w posiedzeniu uczestniczyło 3 członk</w:t>
      </w:r>
      <w:r>
        <w:rPr>
          <w:rFonts w:ascii="Times New Roman" w:hAnsi="Times New Roman"/>
          <w:sz w:val="24"/>
          <w:szCs w:val="24"/>
          <w:lang w:val="es-ES_tradnl"/>
        </w:rPr>
        <w:t>ó</w:t>
      </w:r>
      <w:r>
        <w:rPr>
          <w:rFonts w:ascii="Times New Roman" w:hAnsi="Times New Roman"/>
          <w:sz w:val="24"/>
          <w:szCs w:val="24"/>
        </w:rPr>
        <w:t xml:space="preserve">w. Informację o terminie, miejscu i porządku posiedzenia podano do publicznej wiadomości poprzez wywieszenie zawiadomienia na tablicy ogłoszeń w Urzędzie Gminy oraz umieszczenie na stronie BIP Urzędu Gminy. </w:t>
      </w:r>
    </w:p>
    <w:p>
      <w:pPr>
        <w:pStyle w:val="Domylne"/>
        <w:bidi w:val="0"/>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 xml:space="preserve">Członkowie obecni na posiedzeniu: </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Zaremba Patrycja</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Kamienowski Sławomir</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 xml:space="preserve">Grużewski Paweł </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 xml:space="preserve">lista obecności w załączeniu. </w:t>
      </w:r>
    </w:p>
    <w:p>
      <w:pPr>
        <w:pStyle w:val="Domylne"/>
        <w:bidi w:val="0"/>
        <w:spacing w:lineRule="auto" w:line="360" w:before="0" w:after="0"/>
        <w:ind w:left="0" w:right="0" w:hanging="0"/>
        <w:jc w:val="both"/>
        <w:rPr>
          <w:rFonts w:ascii="Times New Roman" w:hAnsi="Times New Roman" w:eastAsia="Times New Roman" w:cs="Times New Roman"/>
        </w:rPr>
      </w:pPr>
      <w:r>
        <w:rPr>
          <w:rFonts w:eastAsia="Times New Roman" w:cs="Times New Roman" w:ascii="Times New Roman" w:hAnsi="Times New Roman"/>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Ponadto w posiedzeniu uczestniczyli:</w:t>
      </w:r>
    </w:p>
    <w:p>
      <w:pPr>
        <w:pStyle w:val="Domylne"/>
        <w:numPr>
          <w:ilvl w:val="0"/>
          <w:numId w:val="7"/>
        </w:numPr>
        <w:bidi w:val="0"/>
        <w:spacing w:lineRule="auto" w:line="360" w:before="0" w:after="0"/>
        <w:ind w:left="360" w:right="0" w:hanging="360"/>
        <w:jc w:val="both"/>
        <w:rPr>
          <w:rFonts w:ascii="Times New Roman" w:hAnsi="Times New Roman"/>
        </w:rPr>
      </w:pPr>
      <w:r>
        <w:rPr>
          <w:rFonts w:ascii="Times New Roman" w:hAnsi="Times New Roman"/>
        </w:rPr>
        <w:t>G</w:t>
      </w:r>
      <w:r>
        <w:rPr>
          <w:rFonts w:ascii="Times New Roman" w:hAnsi="Times New Roman"/>
          <w:lang w:val="es-ES_tradnl"/>
        </w:rPr>
        <w:t>ó</w:t>
      </w:r>
      <w:r>
        <w:rPr>
          <w:rFonts w:ascii="Times New Roman" w:hAnsi="Times New Roman"/>
        </w:rPr>
        <w:t>rski Kazimierz - W</w:t>
      </w:r>
      <w:r>
        <w:rPr>
          <w:rFonts w:ascii="Times New Roman" w:hAnsi="Times New Roman"/>
          <w:lang w:val="es-ES_tradnl"/>
        </w:rPr>
        <w:t>ó</w:t>
      </w:r>
      <w:r>
        <w:rPr>
          <w:rFonts w:ascii="Times New Roman" w:hAnsi="Times New Roman"/>
        </w:rPr>
        <w:t>jt Gminy Miastkowo</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Brzostek Teresa- Wiceprzewodnicząca Rady</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 xml:space="preserve">Rupacz Henryk- Przewodniczący Rady </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Wilk Bożena- Skarbnik Gminy</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 xml:space="preserve">lista obecności w załączeniu. </w:t>
      </w:r>
    </w:p>
    <w:p>
      <w:pPr>
        <w:pStyle w:val="Domylne"/>
        <w:bidi w:val="0"/>
        <w:spacing w:lineRule="auto" w:line="360" w:before="0" w:after="0"/>
        <w:ind w:left="0" w:right="0" w:hanging="0"/>
        <w:jc w:val="both"/>
        <w:rPr>
          <w:rFonts w:ascii="Times New Roman" w:hAnsi="Times New Roman" w:eastAsia="Times New Roman" w:cs="Times New Roman"/>
        </w:rPr>
      </w:pPr>
      <w:r>
        <w:rPr>
          <w:rFonts w:eastAsia="Times New Roman" w:cs="Times New Roman" w:ascii="Times New Roman" w:hAnsi="Times New Roman"/>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b/>
          <w:bCs/>
        </w:rPr>
        <w:t xml:space="preserve">Ad.1. </w:t>
      </w:r>
      <w:r>
        <w:rPr>
          <w:rFonts w:ascii="Times New Roman" w:hAnsi="Times New Roman"/>
        </w:rPr>
        <w:t>Przewodnicząca Komisji dokonała otwarcia posiedzenia witając wszystkich zebranych. Na podstawie listy obecności stwierdziła prawomocność posiedzenia i zapoznała z porządkiem dziennym. Członkowie Komisji nie wnosili uwag do porządku posiedzenia. Przewodnicząca stwierdziła, że porządek o przedstawionej treści uważa za przyję</w:t>
      </w:r>
      <w:r>
        <w:rPr>
          <w:rFonts w:ascii="Times New Roman" w:hAnsi="Times New Roman"/>
          <w:lang w:val="en-US"/>
        </w:rPr>
        <w:t xml:space="preserve">ty: </w:t>
      </w:r>
    </w:p>
    <w:p>
      <w:pPr>
        <w:pStyle w:val="Domylne"/>
        <w:numPr>
          <w:ilvl w:val="0"/>
          <w:numId w:val="0"/>
        </w:numPr>
        <w:bidi w:val="0"/>
        <w:spacing w:lineRule="auto" w:line="360" w:before="0" w:after="0"/>
        <w:ind w:left="360" w:right="0" w:hanging="0"/>
        <w:jc w:val="both"/>
        <w:rPr>
          <w:rFonts w:ascii="Times New Roman" w:hAnsi="Times New Roman"/>
        </w:rPr>
      </w:pPr>
      <w:r>
        <w:rPr>
          <w:rFonts w:ascii="Times New Roman" w:hAnsi="Times New Roman"/>
        </w:rPr>
        <w:t>1. Otwarcie posiedzenia i przyjęcie porządku dziennego.</w:t>
      </w:r>
    </w:p>
    <w:p>
      <w:pPr>
        <w:pStyle w:val="Domylne"/>
        <w:numPr>
          <w:ilvl w:val="0"/>
          <w:numId w:val="0"/>
        </w:numPr>
        <w:bidi w:val="0"/>
        <w:spacing w:lineRule="auto" w:line="360" w:before="0" w:after="0"/>
        <w:ind w:left="360" w:right="0" w:hanging="0"/>
        <w:jc w:val="both"/>
        <w:rPr>
          <w:rFonts w:ascii="Times New Roman" w:hAnsi="Times New Roman"/>
        </w:rPr>
      </w:pPr>
      <w:r>
        <w:rPr>
          <w:rFonts w:ascii="Times New Roman" w:hAnsi="Times New Roman"/>
        </w:rPr>
        <w:t>2. Przyjęcie protokołu z poprzedniego posiedzenia.</w:t>
      </w:r>
    </w:p>
    <w:p>
      <w:pPr>
        <w:pStyle w:val="Domylne"/>
        <w:numPr>
          <w:ilvl w:val="0"/>
          <w:numId w:val="0"/>
        </w:numPr>
        <w:bidi w:val="0"/>
        <w:spacing w:lineRule="auto" w:line="360" w:before="0" w:after="0"/>
        <w:ind w:left="360" w:right="0" w:hanging="0"/>
        <w:jc w:val="both"/>
        <w:rPr>
          <w:rFonts w:ascii="Times New Roman" w:hAnsi="Times New Roman"/>
        </w:rPr>
      </w:pPr>
      <w:r>
        <w:rPr>
          <w:rFonts w:ascii="Times New Roman" w:hAnsi="Times New Roman"/>
        </w:rPr>
        <w:t>3. Rozpatrzenie stawki podatku rolnego i leśnego na 2023 rok.</w:t>
      </w:r>
    </w:p>
    <w:p>
      <w:pPr>
        <w:pStyle w:val="Domylne"/>
        <w:bidi w:val="0"/>
        <w:spacing w:lineRule="auto" w:line="360" w:before="0" w:after="0"/>
        <w:ind w:left="0" w:right="0" w:hanging="0"/>
        <w:jc w:val="left"/>
        <w:rPr>
          <w:rFonts w:ascii="Times New Roman" w:hAnsi="Times New Roman" w:eastAsia="Times New Roman" w:cs="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4. Rozpatrzenie projekt</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uchwał w sprawach:</w:t>
      </w:r>
    </w:p>
    <w:p>
      <w:pPr>
        <w:pStyle w:val="Domylne"/>
        <w:numPr>
          <w:ilvl w:val="0"/>
          <w:numId w:val="0"/>
        </w:numPr>
        <w:bidi w:val="0"/>
        <w:spacing w:lineRule="auto" w:line="360" w:before="0" w:after="0"/>
        <w:ind w:left="393" w:right="0" w:hanging="0"/>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 xml:space="preserve">a) zmieniająca uchwałę w sprawie uchwalenia Wieloletniej Prognozy Finansowej Gminy         </w:t>
      </w:r>
    </w:p>
    <w:p>
      <w:pPr>
        <w:pStyle w:val="Domylne"/>
        <w:numPr>
          <w:ilvl w:val="0"/>
          <w:numId w:val="0"/>
        </w:numPr>
        <w:bidi w:val="0"/>
        <w:spacing w:lineRule="auto" w:line="360" w:before="0" w:after="0"/>
        <w:ind w:left="393" w:right="0" w:hanging="0"/>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 xml:space="preserve">Miastkowo na lata 2022-2025 wraz z prognozą kwoty długu i spłat zobowiązań na lata   </w:t>
        <w:br/>
        <w:t xml:space="preserve">             2022- 2027 </w:t>
      </w:r>
    </w:p>
    <w:p>
      <w:pPr>
        <w:pStyle w:val="Domylne"/>
        <w:numPr>
          <w:ilvl w:val="0"/>
          <w:numId w:val="0"/>
        </w:numPr>
        <w:bidi w:val="0"/>
        <w:spacing w:lineRule="auto" w:line="360" w:before="0" w:after="0"/>
        <w:ind w:left="393" w:right="0" w:hanging="0"/>
        <w:jc w:val="both"/>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b) zmian w budżecie gminy na 2022 rok;</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c) przyjęcie Programu współpracy Gminy Miastkowo z organizacjami pozarządowymi i</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innymi uprawnionymi podmiotami na 2023 rok;</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d) określenie stawki przebiegu pojazdu; </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 xml:space="preserve">e) zmieniająca uchwałę w sprawie ustalenia Regulaminu określającego wysokość dodat </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 xml:space="preserve">ków  i innych składników wynagrodzenia dla nauczycieli zatrudnionych w szkołach  </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prowadz</w:t>
      </w:r>
      <w:r>
        <w:rPr>
          <w:rFonts w:ascii="Times New Roman" w:hAnsi="Times New Roman"/>
          <w:outline w:val="false"/>
          <w:color w:val="202528"/>
          <w:shd w:fill="FFFFFF" w:val="clear"/>
          <w14:textFill>
            <w14:solidFill>
              <w14:srgbClr w14:val="212529"/>
            </w14:solidFill>
          </w14:textFill>
        </w:rPr>
        <w:t>o</w:t>
      </w:r>
      <w:r>
        <w:rPr>
          <w:rFonts w:ascii="Times New Roman" w:hAnsi="Times New Roman"/>
          <w:outline w:val="false"/>
          <w:color w:val="202528"/>
          <w:shd w:fill="FFFFFF" w:val="clear"/>
          <w14:textFill>
            <w14:solidFill>
              <w14:srgbClr w14:val="212529"/>
            </w14:solidFill>
          </w14:textFill>
        </w:rPr>
        <w:t>nych przez Gminę Miastkowo;</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 xml:space="preserve">f) wyboru metody ustalenia opłaty za gospodarowanie odpadami komunalnymi ustalenia    </w:t>
      </w:r>
    </w:p>
    <w:p>
      <w:pPr>
        <w:pStyle w:val="Domylne"/>
        <w:numPr>
          <w:ilvl w:val="0"/>
          <w:numId w:val="0"/>
        </w:numPr>
        <w:bidi w:val="0"/>
        <w:spacing w:lineRule="auto" w:line="360" w:before="0" w:after="0"/>
        <w:ind w:left="393" w:right="0" w:hanging="0"/>
        <w:jc w:val="both"/>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stawki opłaty oraz określenia stawki opłaty podwyższonej;</w:t>
      </w:r>
    </w:p>
    <w:p>
      <w:pPr>
        <w:pStyle w:val="Domylne"/>
        <w:bidi w:val="0"/>
        <w:spacing w:lineRule="auto" w:line="360" w:before="0" w:after="0"/>
        <w:ind w:left="0" w:right="0" w:hanging="0"/>
        <w:jc w:val="left"/>
        <w:rPr>
          <w:rFonts w:ascii="Times New Roman" w:hAnsi="Times New Roman" w:eastAsia="Times New Roman" w:cs="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5.  Informacja o stanie zaawansowania zadań inwestycyjnych w 2022 roku.</w:t>
      </w:r>
    </w:p>
    <w:p>
      <w:pPr>
        <w:pStyle w:val="Domylne"/>
        <w:bidi w:val="0"/>
        <w:spacing w:lineRule="auto" w:line="360" w:before="0" w:after="0"/>
        <w:ind w:left="0" w:right="0" w:hanging="0"/>
        <w:jc w:val="left"/>
        <w:rPr>
          <w:rFonts w:ascii="Times New Roman" w:hAnsi="Times New Roman" w:eastAsia="Times New Roman" w:cs="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     </w:t>
      </w:r>
      <w:r>
        <w:rPr>
          <w:rFonts w:ascii="Times New Roman" w:hAnsi="Times New Roman"/>
          <w:outline w:val="false"/>
          <w:color w:val="202528"/>
          <w:shd w:fill="FFFFFF" w:val="clear"/>
          <w14:textFill>
            <w14:solidFill>
              <w14:srgbClr w14:val="212529"/>
            </w14:solidFill>
          </w14:textFill>
        </w:rPr>
        <w:t>6.  Wolne wnioski</w:t>
      </w:r>
    </w:p>
    <w:p>
      <w:pPr>
        <w:pStyle w:val="Domylne"/>
        <w:bidi w:val="0"/>
        <w:spacing w:lineRule="auto" w:line="360" w:before="0" w:after="0"/>
        <w:ind w:left="0" w:right="0" w:hanging="0"/>
        <w:jc w:val="both"/>
        <w:rPr>
          <w:rFonts w:ascii="Times New Roman" w:hAnsi="Times New Roman" w:eastAsia="Times New Roman" w:cs="Times New Roman"/>
          <w:outline w:val="false"/>
          <w:color w:val="202528"/>
          <w:shd w:fill="FFFFFF" w:val="clear"/>
          <w14:textFill>
            <w14:solidFill>
              <w14:srgbClr w14:val="212529"/>
            </w14:solidFill>
          </w14:textFill>
        </w:rPr>
      </w:pPr>
      <w:r>
        <w:rPr>
          <w:rFonts w:eastAsia="Times New Roman" w:cs="Times New Roman" w:ascii="Times New Roman" w:hAnsi="Times New Roman"/>
          <w:outline w:val="false"/>
          <w:color w:val="202528"/>
          <w:shd w:fill="FFFFFF" w:val="clear"/>
          <w14:textFill>
            <w14:solidFill>
              <w14:srgbClr w14:val="212529"/>
            </w14:solidFill>
          </w14:textFill>
        </w:rPr>
      </w:r>
    </w:p>
    <w:p>
      <w:pPr>
        <w:pStyle w:val="Domylne"/>
        <w:bidi w:val="0"/>
        <w:spacing w:lineRule="auto" w:line="360" w:before="0" w:after="0"/>
        <w:ind w:left="0" w:right="0" w:hanging="0"/>
        <w:jc w:val="both"/>
        <w:rPr>
          <w:rFonts w:ascii="Times New Roman" w:hAnsi="Times New Roman" w:eastAsia="Times New Roman" w:cs="Times New Roman"/>
          <w:b/>
          <w:b/>
          <w:bCs/>
          <w:u w:val="single" w:color="FFFFFF"/>
          <w:shd w:fill="FFFFFF" w:val="clear"/>
        </w:rPr>
      </w:pPr>
      <w:r>
        <w:rPr>
          <w:rFonts w:ascii="Times New Roman" w:hAnsi="Times New Roman"/>
          <w:b/>
          <w:bCs/>
          <w:u w:val="single" w:color="FFFFFF"/>
          <w:shd w:fill="FFFFFF" w:val="clear"/>
        </w:rPr>
        <w:t xml:space="preserve">PRZEBIEG POSIEDZENIA: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b/>
          <w:bCs/>
          <w:shd w:fill="FFFFFF" w:val="clear"/>
        </w:rPr>
        <w:t>Ad.2.</w:t>
      </w:r>
      <w:r>
        <w:rPr>
          <w:rFonts w:ascii="Times New Roman" w:hAnsi="Times New Roman"/>
          <w:shd w:fill="FFFFFF" w:val="clear"/>
        </w:rPr>
        <w:t xml:space="preserve"> Przewodnicząca poinformowała, że pkt 1 porządku posiedzenia został zrealizowany. </w:t>
        <w:br/>
        <w:t>W związku z powyższym przystąpiła do realizacji punktu 2 - przyjęcie protokołu z poprzedniego posiedzenia. Przewodnicząca poinformowała, że protokół został podpisany bez uwag. Nie wnoszono zasadnych uwag, co do jego treści.</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b/>
          <w:bCs/>
          <w:shd w:fill="FFFFFF" w:val="clear"/>
        </w:rPr>
        <w:t xml:space="preserve">Ad.3. </w:t>
      </w:r>
      <w:r>
        <w:rPr>
          <w:rFonts w:ascii="Times New Roman" w:hAnsi="Times New Roman"/>
          <w:shd w:fill="FFFFFF" w:val="clear"/>
        </w:rPr>
        <w:t xml:space="preserve">Punkt kolejny posiedzenia to rozpatrzenie stawek podatku rolnego i leśnego na 2023 rok.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tab/>
        <w:t>W</w:t>
      </w:r>
      <w:r>
        <w:rPr>
          <w:rFonts w:ascii="Times New Roman" w:hAnsi="Times New Roman"/>
          <w:shd w:fill="FFFFFF" w:val="clear"/>
        </w:rPr>
        <w:t xml:space="preserve">ójt K. Górski,  wyjaśnił jak zmieni się stawka podatku rolnego po przyjęciu średniej ceny żyta podanej przez GUS za 11 ostatnich kwartałów poprzedzających rok podatkowy 2023, która  wynosi 74,05 za 1 dt. Po przeliczeniu podatek rolny dla osób posiadających poniżej 1 ha stawka wzrośnie do 370,25 zł czyli więcej o 62,85 zł w stosunku do roku 2022. Natomiast dla osób posiadających powyżej 1 ha wynosić będzie 185,125 zł za 1 ha przeliczeniowy jest to wzrost o 31,425 zł w stosunku do roku ubiegłego. Członkowie komisji nie zadawali pytań. Przewodnicząca poddała pod jawne głosowanie propozycje przyjęcia średniej ceny żyta do ustalenia stawki podatku rolnego. Na 3 osobowy skład Komisji w głosowaniu udział wzięło 3 członków. Za głosowało -3 członków, przeciw- 0, wstrzymało się od głosu- 0.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tab/>
        <w:t>Nast</w:t>
      </w:r>
      <w:r>
        <w:rPr>
          <w:rFonts w:ascii="Times New Roman" w:hAnsi="Times New Roman"/>
          <w:shd w:fill="FFFFFF" w:val="clear"/>
        </w:rPr>
        <w:t>ępnie Wójt poinformował, iż średnia cena drewna w pierwszych trzech kwartałach 2022 roku wynosiła 323,18 zł za 1 m</w:t>
      </w:r>
      <w:r>
        <w:rPr>
          <w:rFonts w:ascii="Times New Roman" w:hAnsi="Times New Roman"/>
          <w:shd w:fill="FFFFFF" w:val="clear"/>
          <w:vertAlign w:val="superscript"/>
        </w:rPr>
        <w:t xml:space="preserve">3  </w:t>
      </w:r>
      <w:r>
        <w:rPr>
          <w:rFonts w:ascii="Times New Roman" w:hAnsi="Times New Roman"/>
          <w:shd w:fill="FFFFFF" w:val="clear"/>
        </w:rPr>
        <w:t>zgodnie z komunikatem GUS. Po przeliczeniu podatek leśny wzrośnie w stosunku do roku 2022 o 24,4024 zł i będzie wynosił 71,0996 zł. Członkowie komisji nie zadawali pytań. Przewodnicząca poddała pod jawne głosowanie propozycje przyjęcia średniej ceny drewna do ustalenia stawki podatku leśnego. Na 3 osobowy skład Komisji w głosowaniu udział wzięło 3 członków. Za głosowało -3 członków, przeciw- 0, wstrzymało się od głosu- 0.</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b/>
          <w:bCs/>
          <w:shd w:fill="FFFFFF" w:val="clear"/>
        </w:rPr>
        <w:t xml:space="preserve">Ad.4.a. </w:t>
      </w:r>
      <w:r>
        <w:rPr>
          <w:rFonts w:ascii="Times New Roman" w:hAnsi="Times New Roman"/>
          <w:shd w:fill="FFFFFF" w:val="clear"/>
        </w:rPr>
        <w:t xml:space="preserve">Punkt następny to rozpatrzenie projektu  uchwały zmieniającej uchwałę w sprawie Wieloletniej Prognozie Finansowej Gminy Miastkowo na lata 2022-2025 wraz z prognozą spłaty długu i spłaty zobowiązań na lata 2022-2027. Skarbnik B. Wilk  poinformowała, iż zaszła potrzeba uaktualnienia Wieloletniej Prognozie Finansowej, ponieważ gmina otrzymała dodatkowe środki z tytułu udziału w podatku dochodowym od osób fizycznych w kwocie 2 888 418,57 zł. Po wprowadzeniu środków do planu dochodów budżetu gminy zmienił się wynik budżetu i nie zachodzi potrzeba zaciągnięcia kredytu. W załączniku nr 2 na rok 2023 rok wprowadzono przedsięwzięcie dotyczące dofinansowania przebudowy dróg powiatowych na terenie naszej gminy poprzez dotacje celową dla powiatu.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tab/>
        <w:t>U</w:t>
      </w:r>
      <w:r>
        <w:rPr>
          <w:rFonts w:ascii="Times New Roman" w:hAnsi="Times New Roman"/>
          <w:shd w:fill="FFFFFF" w:val="clear"/>
        </w:rPr>
        <w:t>wag do przedmiotowego projektu nie był</w:t>
      </w:r>
      <w:r>
        <w:rPr>
          <w:rFonts w:ascii="Times New Roman" w:hAnsi="Times New Roman"/>
          <w:shd w:fill="FFFFFF" w:val="clear"/>
          <w:lang w:val="it-IT"/>
        </w:rPr>
        <w:t>o. Naste</w:t>
      </w:r>
      <w:r>
        <w:rPr>
          <w:rFonts w:ascii="Times New Roman" w:hAnsi="Times New Roman"/>
          <w:shd w:fill="FFFFFF" w:val="clear"/>
        </w:rPr>
        <w:t>̨pnie Przewodnicząca poddała pod głosowanie jawne wniosek w sprawie pozytywnego zaopiniowania projektu uchwały. Na 3 osobowy skład Komisji w głosowaniu udział wzięło 3 członk</w:t>
      </w:r>
      <w:r>
        <w:rPr>
          <w:rFonts w:ascii="Times New Roman" w:hAnsi="Times New Roman"/>
          <w:shd w:fill="FFFFFF" w:val="clear"/>
          <w:lang w:val="es-ES_tradnl"/>
        </w:rPr>
        <w:t>ó</w:t>
      </w:r>
      <w:r>
        <w:rPr>
          <w:rFonts w:ascii="Times New Roman" w:hAnsi="Times New Roman"/>
          <w:shd w:fill="FFFFFF" w:val="clear"/>
        </w:rPr>
        <w:t>w. Za wyrażeniem pozytywnej opinii głosowało 3 członk</w:t>
      </w:r>
      <w:r>
        <w:rPr>
          <w:rFonts w:ascii="Times New Roman" w:hAnsi="Times New Roman"/>
          <w:shd w:fill="FFFFFF" w:val="clear"/>
          <w:lang w:val="es-ES_tradnl"/>
        </w:rPr>
        <w:t>ó</w:t>
      </w:r>
      <w:r>
        <w:rPr>
          <w:rFonts w:ascii="Times New Roman" w:hAnsi="Times New Roman"/>
          <w:shd w:fill="FFFFFF" w:val="clear"/>
        </w:rPr>
        <w:t>w, przeciw - 0, wstrzymał</w:t>
      </w:r>
      <w:r>
        <w:rPr>
          <w:rFonts w:ascii="Times New Roman" w:hAnsi="Times New Roman"/>
          <w:shd w:fill="FFFFFF" w:val="clear"/>
          <w:lang w:val="es-ES_tradnl"/>
        </w:rPr>
        <w:t>o sie</w:t>
      </w:r>
      <w:r>
        <w:rPr>
          <w:rFonts w:ascii="Times New Roman" w:hAnsi="Times New Roman"/>
          <w:shd w:fill="FFFFFF" w:val="clear"/>
        </w:rPr>
        <w:t xml:space="preserve">̨ od głosu - 0. Przewodnicząca stwierdziła, że Komisja pozytywnie zaopiniowała przedmiotowy projekt uchwały.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Projekt uchwały w załączeniu do protokołu.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b/>
          <w:bCs/>
          <w:shd w:fill="FFFFFF" w:val="clear"/>
        </w:rPr>
        <w:t>Ad.4.b.</w:t>
      </w:r>
      <w:r>
        <w:rPr>
          <w:rFonts w:ascii="Times New Roman" w:hAnsi="Times New Roman"/>
          <w:shd w:fill="FFFFFF" w:val="clear"/>
        </w:rPr>
        <w:t xml:space="preserve"> Następnie zajęto się rozpatrzeniem projektu uchwały w sprawie zmian w budżecie na 2022 roku. Pani Skarbnik przedstawiła planowane zmiany w budżecie, które przedstawiają się następująco </w:t>
      </w:r>
      <w:r>
        <w:rPr>
          <w:rFonts w:ascii="Times New Roman" w:hAnsi="Times New Roman"/>
        </w:rPr>
        <w:t>w § 3 budżet gminy po dokonanych zmianach wynosi:</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dochody budżetu gminy ogółem wynoszą </w:t>
      </w:r>
      <w:r>
        <w:rPr>
          <w:rFonts w:ascii="Times New Roman" w:hAnsi="Times New Roman"/>
          <w:b/>
          <w:bCs/>
        </w:rPr>
        <w:t>31 203 636,25</w:t>
      </w:r>
      <w:r>
        <w:rPr>
          <w:rFonts w:ascii="Times New Roman" w:hAnsi="Times New Roman"/>
          <w:b/>
          <w:bCs/>
          <w:lang w:val="de-DE"/>
        </w:rPr>
        <w:t xml:space="preserve"> z</w:t>
      </w:r>
      <w:r>
        <w:rPr>
          <w:rFonts w:ascii="Times New Roman" w:hAnsi="Times New Roman"/>
          <w:b/>
          <w:bCs/>
        </w:rPr>
        <w:t>ł,</w:t>
      </w:r>
      <w:r>
        <w:rPr>
          <w:rFonts w:ascii="Times New Roman" w:hAnsi="Times New Roman"/>
          <w:b w:val="false"/>
          <w:bCs w:val="false"/>
        </w:rPr>
        <w:t xml:space="preserve"> w tym:</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dochody bieżące – </w:t>
      </w:r>
      <w:r>
        <w:rPr>
          <w:rFonts w:ascii="Times New Roman" w:hAnsi="Times New Roman"/>
          <w:b/>
          <w:bCs/>
          <w:shd w:fill="FFFFFF" w:val="clear"/>
        </w:rPr>
        <w:t xml:space="preserve">29 655 350,41 zł; </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dochody majątkowe – </w:t>
      </w:r>
      <w:r>
        <w:rPr>
          <w:rFonts w:ascii="Times New Roman" w:hAnsi="Times New Roman"/>
          <w:b/>
          <w:bCs/>
          <w:shd w:fill="FFFFFF" w:val="clear"/>
        </w:rPr>
        <w:t>1 548 285, 84</w:t>
      </w:r>
      <w:r>
        <w:rPr>
          <w:rFonts w:ascii="Times New Roman" w:hAnsi="Times New Roman"/>
          <w:b/>
          <w:bCs/>
          <w:shd w:fill="FFFFFF" w:val="clear"/>
          <w:lang w:val="de-DE"/>
        </w:rPr>
        <w:t xml:space="preserve"> z</w:t>
      </w:r>
      <w:r>
        <w:rPr>
          <w:rFonts w:ascii="Times New Roman" w:hAnsi="Times New Roman"/>
          <w:b/>
          <w:bCs/>
          <w:shd w:fill="FFFFFF" w:val="clear"/>
        </w:rPr>
        <w:t>ł;</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shd w:fill="FFFFFF" w:val="clear"/>
        </w:rPr>
        <w:t>wydatki budżetu gminy ogółem wynoszą</w:t>
      </w:r>
      <w:r>
        <w:rPr>
          <w:rFonts w:ascii="Times New Roman" w:hAnsi="Times New Roman"/>
          <w:b/>
          <w:bCs/>
          <w:shd w:fill="FFFFFF" w:val="clear"/>
        </w:rPr>
        <w:t xml:space="preserve"> 31 828 750,68 zł </w:t>
      </w:r>
      <w:r>
        <w:rPr>
          <w:rFonts w:ascii="Times New Roman" w:hAnsi="Times New Roman"/>
          <w:shd w:fill="FFFFFF" w:val="clear"/>
        </w:rPr>
        <w:t>w tym:</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wydatki bieżące – </w:t>
      </w:r>
      <w:r>
        <w:rPr>
          <w:rFonts w:ascii="Times New Roman" w:hAnsi="Times New Roman"/>
          <w:b/>
          <w:bCs/>
          <w:shd w:fill="FFFFFF" w:val="clear"/>
        </w:rPr>
        <w:t>27 306 112, 46</w:t>
      </w:r>
      <w:r>
        <w:rPr>
          <w:rFonts w:ascii="Times New Roman" w:hAnsi="Times New Roman"/>
          <w:b/>
          <w:bCs/>
          <w:shd w:fill="FFFFFF" w:val="clear"/>
          <w:lang w:val="de-DE"/>
        </w:rPr>
        <w:t xml:space="preserve"> z</w:t>
      </w:r>
      <w:r>
        <w:rPr>
          <w:rFonts w:ascii="Times New Roman" w:hAnsi="Times New Roman"/>
          <w:b/>
          <w:bCs/>
          <w:shd w:fill="FFFFFF" w:val="clear"/>
        </w:rPr>
        <w:t>ł;</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wydatki majątkowe – </w:t>
      </w:r>
      <w:r>
        <w:rPr>
          <w:rFonts w:ascii="Times New Roman" w:hAnsi="Times New Roman"/>
          <w:b/>
          <w:bCs/>
          <w:shd w:fill="FFFFFF" w:val="clear"/>
        </w:rPr>
        <w:t>4 522 638,22</w:t>
      </w:r>
      <w:r>
        <w:rPr>
          <w:rFonts w:ascii="Times New Roman" w:hAnsi="Times New Roman"/>
          <w:b/>
          <w:bCs/>
          <w:shd w:fill="FFFFFF" w:val="clear"/>
          <w:lang w:val="de-DE"/>
        </w:rPr>
        <w:t xml:space="preserve"> z</w:t>
      </w:r>
      <w:r>
        <w:rPr>
          <w:rFonts w:ascii="Times New Roman" w:hAnsi="Times New Roman"/>
          <w:b/>
          <w:bCs/>
          <w:shd w:fill="FFFFFF" w:val="clear"/>
        </w:rPr>
        <w:t>ł.</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Natomiast w § 4 ustala się iż deficyt w kwocie 625 114,43 zł zostanie pokryty nadwyżką z lat ubiegłych.</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W § 8 ustala się:</w:t>
      </w:r>
    </w:p>
    <w:p>
      <w:pPr>
        <w:pStyle w:val="Domylne"/>
        <w:numPr>
          <w:ilvl w:val="0"/>
          <w:numId w:val="5"/>
        </w:numPr>
        <w:bidi w:val="0"/>
        <w:spacing w:lineRule="auto" w:line="360" w:before="0" w:after="0"/>
        <w:ind w:left="393" w:right="0" w:hanging="393"/>
        <w:jc w:val="both"/>
        <w:rPr>
          <w:rFonts w:ascii="Times New Roman" w:hAnsi="Times New Roman"/>
        </w:rPr>
      </w:pPr>
      <w:r>
        <w:rPr>
          <w:rFonts w:ascii="Times New Roman" w:hAnsi="Times New Roman"/>
        </w:rPr>
        <w:t xml:space="preserve">dochody w kwocie 405 000,00 zł i wydatki w kwocie 405 000,00 zł związane z realizacją zadań określonych ustawą Prawo ochrony środowiska. </w:t>
      </w:r>
    </w:p>
    <w:p>
      <w:pPr>
        <w:pStyle w:val="Domylne"/>
        <w:numPr>
          <w:ilvl w:val="0"/>
          <w:numId w:val="8"/>
        </w:numPr>
        <w:bidi w:val="0"/>
        <w:spacing w:lineRule="auto" w:line="360" w:before="0" w:after="0"/>
        <w:ind w:left="393" w:right="0" w:hanging="393"/>
        <w:jc w:val="both"/>
        <w:rPr>
          <w:rFonts w:ascii="Times New Roman" w:hAnsi="Times New Roman"/>
        </w:rPr>
      </w:pPr>
      <w:r>
        <w:rPr>
          <w:rFonts w:ascii="Times New Roman" w:hAnsi="Times New Roman"/>
        </w:rPr>
        <w:t xml:space="preserve">dochody w kwocie 67 878,00 zł z tytułu wydawania zezwoleń na sprzedaż napojów alkoholowych oraz wydatki w kwocie 106 422,00 zł na realizacje zadań określonych w gminnym programie profilaktyki i rozwiązywania problemów alkoholowych oraz w gminnym programie przeciwdziałania narkomanii.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b/>
          <w:bCs/>
          <w:shd w:fill="FFFFFF" w:val="clear"/>
        </w:rPr>
        <w:t>Plan dochod</w:t>
      </w:r>
      <w:r>
        <w:rPr>
          <w:rFonts w:ascii="Times New Roman" w:hAnsi="Times New Roman"/>
          <w:b/>
          <w:bCs/>
          <w:shd w:fill="FFFFFF" w:val="clear"/>
          <w:lang w:val="es-ES_tradnl"/>
        </w:rPr>
        <w:t>ó</w:t>
      </w:r>
      <w:r>
        <w:rPr>
          <w:rFonts w:ascii="Times New Roman" w:hAnsi="Times New Roman"/>
          <w:b/>
          <w:bCs/>
          <w:shd w:fill="FFFFFF" w:val="clear"/>
        </w:rPr>
        <w:t>w zwiększa się o kwotę 3 465 479,57 zł w poszczególnych rozdziałach z tytułu:</w:t>
      </w:r>
      <w:r>
        <w:rPr>
          <w:rFonts w:eastAsia="Times New Roman" w:cs="Times New Roman" w:ascii="Times New Roman" w:hAnsi="Times New Roman"/>
          <w:b/>
          <w:bCs/>
          <w:shd w:fill="FFFFFF" w:val="clear"/>
        </w:rPr>
        <w:br/>
      </w:r>
      <w:r>
        <w:rPr>
          <w:rFonts w:ascii="Times New Roman" w:hAnsi="Times New Roman"/>
          <w:shd w:fill="FFFFFF" w:val="clear"/>
          <w:lang w:val="ru-RU"/>
        </w:rPr>
        <w:t xml:space="preserve">- </w:t>
      </w:r>
      <w:r>
        <w:rPr>
          <w:rFonts w:ascii="Times New Roman" w:hAnsi="Times New Roman"/>
          <w:shd w:fill="FFFFFF" w:val="clear"/>
        </w:rPr>
        <w:t>odsetek od nieterminowych wpłat za wodę- 200,00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opłaty za zajęcie pasa drogowego- 700,00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czynsz i najem - 15 000,00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zwrot podatku Vat (od przebudowy SUW w Łubach- Kiertanach)- 290 343,00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refundacja PUP, dotacja z PFRON- 72 895,00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podatku od spadków i darowizn, podatku od czynności cywilno prawnych- 50 000,00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podatku od czynności cywilno prawnych- 70 000,00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 za zwolnienia na sprzedaż alkoholu- 14 104,00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udział w podatku dochodowym od osób fizycznych- 2 888 418,57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odsetek od lokat- 8 000,00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opłaty za usługi opiekuńcze- 1 650,00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odsetki i kary- 3 250,00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opłata za korzystanie ze środowiska- 80 000,00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środki na dofinansowanie odbioru folii od rolników- 39 309,00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-odszkodowania- 1 500,00 zł</w:t>
      </w:r>
    </w:p>
    <w:p>
      <w:pPr>
        <w:pStyle w:val="Domylne"/>
        <w:bidi w:val="0"/>
        <w:spacing w:lineRule="auto" w:line="360" w:before="0" w:after="0"/>
        <w:ind w:left="240" w:right="0" w:hanging="0"/>
        <w:jc w:val="both"/>
        <w:rPr>
          <w:rFonts w:ascii="Times New Roman" w:hAnsi="Times New Roman" w:eastAsia="Times New Roman" w:cs="Times New Roman"/>
          <w:b/>
          <w:b/>
          <w:bCs/>
          <w:shd w:fill="FFFFFF" w:val="clear"/>
        </w:rPr>
      </w:pPr>
      <w:r>
        <w:rPr>
          <w:rFonts w:ascii="Times New Roman" w:hAnsi="Times New Roman"/>
          <w:b/>
          <w:bCs/>
          <w:shd w:fill="FFFFFF" w:val="clear"/>
        </w:rPr>
        <w:t>Plan dochodów zmniejsza się o kwotę 142 000,00 zł w poszczególnych rozdziałach z tytułu:</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sprzedaż mienia- 142 000,00 zł</w:t>
      </w:r>
    </w:p>
    <w:p>
      <w:pPr>
        <w:pStyle w:val="Domylne"/>
        <w:bidi w:val="0"/>
        <w:spacing w:lineRule="auto" w:line="360" w:before="0" w:after="0"/>
        <w:ind w:left="240" w:right="0" w:hanging="0"/>
        <w:jc w:val="both"/>
        <w:rPr>
          <w:rFonts w:ascii="Times New Roman" w:hAnsi="Times New Roman" w:eastAsia="Times New Roman" w:cs="Times New Roman"/>
          <w:b/>
          <w:b/>
          <w:bCs/>
          <w:shd w:fill="FFFFFF" w:val="clear"/>
        </w:rPr>
      </w:pPr>
      <w:r>
        <w:rPr>
          <w:rFonts w:ascii="Times New Roman" w:hAnsi="Times New Roman"/>
          <w:b/>
          <w:bCs/>
          <w:shd w:fill="FFFFFF" w:val="clear"/>
        </w:rPr>
        <w:t>Plan wydatków zwiększa się o kwotę 266 494,00 zł w poszczególnych rozdziałach z tytułu:</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wpłat na izby rolnicze- 1 000,00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rozbudowa sieci wodociągowej- wydatki określone ustawą Prawo Ochrony Środowiska-</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30 000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opłaty- Wody Polskie- 100,00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sól i piasek- 8 168,00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wynagrodzenia, pochodne od wynagrodzeń, usług (refundacja z PUP)- 61 667,00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prowizja sołtysów- 3 400,00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opłaty za przedszkola (poza terenem Gminy)- 20 000,00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usługi remontowe- 10 000,00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realizacja zadań określonych w gminnym programie profilaktyki i rozwiązywania problemów alkoholowych- 14 104,00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konserwacja oświetlenia wymiana lamp na energooszczędne- wydatki określone ustawą Prawo  Ochrony Środowiska- 15 000,00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usługi odbiór folii rolniczej w tym wydatki okresowe ustawą Prawo Ochrony Środowiska- 42 454,00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wynagrodzenia, pochodne od wynagrodzeń, opał, odłów bezpańskich psów, program ochrony środowiska- wydatki określone ustawą Prawo Ochrony Środowiska- 31 855,00 zł,</w:t>
      </w:r>
    </w:p>
    <w:p>
      <w:pPr>
        <w:pStyle w:val="Domylne"/>
        <w:bidi w:val="0"/>
        <w:spacing w:lineRule="auto" w:line="360" w:before="0" w:after="0"/>
        <w:ind w:left="240" w:right="0" w:hanging="0"/>
        <w:jc w:val="both"/>
        <w:rPr>
          <w:rFonts w:ascii="Times New Roman" w:hAnsi="Times New Roman" w:eastAsia="Times New Roman" w:cs="Times New Roman"/>
          <w:b/>
          <w:b/>
          <w:bCs/>
          <w:shd w:fill="FFFFFF" w:val="clear"/>
        </w:rPr>
      </w:pPr>
      <w:r>
        <w:rPr>
          <w:rFonts w:ascii="Times New Roman" w:hAnsi="Times New Roman"/>
          <w:b/>
          <w:bCs/>
          <w:shd w:fill="FFFFFF" w:val="clear"/>
        </w:rPr>
        <w:t xml:space="preserve">Plan wydatków zmniejsza się o kwotę 92 080,00 zł w poszczególnych paragrafach z tytułu: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materiały- 9 480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platforma schodowa w GOK- 82 600,00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tab/>
        <w:t>U</w:t>
      </w:r>
      <w:r>
        <w:rPr>
          <w:rFonts w:ascii="Times New Roman" w:hAnsi="Times New Roman"/>
          <w:shd w:fill="FFFFFF" w:val="clear"/>
        </w:rPr>
        <w:t>wag do przedmiotowego projektu nie był</w:t>
      </w:r>
      <w:r>
        <w:rPr>
          <w:rFonts w:ascii="Times New Roman" w:hAnsi="Times New Roman"/>
          <w:shd w:fill="FFFFFF" w:val="clear"/>
          <w:lang w:val="it-IT"/>
        </w:rPr>
        <w:t>o. Naste</w:t>
      </w:r>
      <w:r>
        <w:rPr>
          <w:rFonts w:ascii="Times New Roman" w:hAnsi="Times New Roman"/>
          <w:shd w:fill="FFFFFF" w:val="clear"/>
        </w:rPr>
        <w:t>̨pnie Przewodnicząca poddała pod głosowanie jawne wniosek w sprawie pozytywnego zaopiniowania projektu uchwały. Na 3 osobowy skład Komisji w głosowaniu udział wzięło 3 członk</w:t>
      </w:r>
      <w:r>
        <w:rPr>
          <w:rFonts w:ascii="Times New Roman" w:hAnsi="Times New Roman"/>
          <w:shd w:fill="FFFFFF" w:val="clear"/>
          <w:lang w:val="es-ES_tradnl"/>
        </w:rPr>
        <w:t>ó</w:t>
      </w:r>
      <w:r>
        <w:rPr>
          <w:rFonts w:ascii="Times New Roman" w:hAnsi="Times New Roman"/>
          <w:shd w:fill="FFFFFF" w:val="clear"/>
        </w:rPr>
        <w:t>w. Za wyrażeniem pozytywnej opinii głosowało 3 członk</w:t>
      </w:r>
      <w:r>
        <w:rPr>
          <w:rFonts w:ascii="Times New Roman" w:hAnsi="Times New Roman"/>
          <w:shd w:fill="FFFFFF" w:val="clear"/>
          <w:lang w:val="es-ES_tradnl"/>
        </w:rPr>
        <w:t>ó</w:t>
      </w:r>
      <w:r>
        <w:rPr>
          <w:rFonts w:ascii="Times New Roman" w:hAnsi="Times New Roman"/>
          <w:shd w:fill="FFFFFF" w:val="clear"/>
        </w:rPr>
        <w:t>w, przeciw - 0, wstrzymał</w:t>
      </w:r>
      <w:r>
        <w:rPr>
          <w:rFonts w:ascii="Times New Roman" w:hAnsi="Times New Roman"/>
          <w:shd w:fill="FFFFFF" w:val="clear"/>
          <w:lang w:val="es-ES_tradnl"/>
        </w:rPr>
        <w:t>o sie</w:t>
      </w:r>
      <w:r>
        <w:rPr>
          <w:rFonts w:ascii="Times New Roman" w:hAnsi="Times New Roman"/>
          <w:shd w:fill="FFFFFF" w:val="clear"/>
        </w:rPr>
        <w:t xml:space="preserve">̨ od głosu - 0. Przewodnicząca stwierdziła, że Komisja pozytywnie zaopiniowała przedmiotowy projekt uchwały.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b/>
          <w:bCs/>
        </w:rPr>
      </w:pPr>
      <w:r>
        <w:rPr>
          <w:rFonts w:eastAsia="Times New Roman" w:cs="Times New Roman" w:ascii="Times New Roman" w:hAnsi="Times New Roman"/>
          <w:b/>
          <w:bCs/>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Ad.4.c. </w:t>
      </w:r>
      <w:r>
        <w:rPr>
          <w:rFonts w:ascii="Times New Roman" w:hAnsi="Times New Roman"/>
          <w:b w:val="false"/>
          <w:bCs w:val="false"/>
        </w:rPr>
        <w:t xml:space="preserve">Następnie zajęto się rozpatrzeniem projektu uchwały w sprawie przyjęcia programy współpracy z Gminy Miastkowo z organizacjami pozarządowymi i innymi uprawnionymi podmiotami na 2023 rok. Treść proponowanej uchwały przedstawił Wójt.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U</w:t>
      </w:r>
      <w:r>
        <w:rPr>
          <w:rFonts w:ascii="Times New Roman" w:hAnsi="Times New Roman"/>
          <w:b w:val="false"/>
          <w:bCs w:val="false"/>
        </w:rPr>
        <w:t>wag do przedmiotowego projektu nie był</w:t>
      </w:r>
      <w:r>
        <w:rPr>
          <w:rFonts w:ascii="Times New Roman" w:hAnsi="Times New Roman"/>
          <w:b w:val="false"/>
          <w:bCs w:val="false"/>
          <w:lang w:val="it-IT"/>
        </w:rPr>
        <w:t>o. Naste</w:t>
      </w:r>
      <w:r>
        <w:rPr>
          <w:rFonts w:ascii="Times New Roman" w:hAnsi="Times New Roman"/>
          <w:b w:val="false"/>
          <w:bCs w:val="false"/>
        </w:rPr>
        <w:t>̨pnie Przewodnicząca poddała pod głosowanie jawne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3 członk</w:t>
      </w:r>
      <w:r>
        <w:rPr>
          <w:rFonts w:ascii="Times New Roman" w:hAnsi="Times New Roman"/>
          <w:b w:val="false"/>
          <w:bCs w:val="false"/>
          <w:lang w:val="es-ES_tradnl"/>
        </w:rPr>
        <w:t>ó</w:t>
      </w:r>
      <w:r>
        <w:rPr>
          <w:rFonts w:ascii="Times New Roman" w:hAnsi="Times New Roman"/>
          <w:b w:val="false"/>
          <w:bCs w:val="false"/>
        </w:rPr>
        <w:t>w, przeciw - 0,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Ad.4.d.</w:t>
      </w:r>
      <w:r>
        <w:rPr>
          <w:rFonts w:ascii="Times New Roman" w:hAnsi="Times New Roman"/>
          <w:b w:val="false"/>
          <w:bCs w:val="false"/>
        </w:rPr>
        <w:t xml:space="preserve"> Punkt kolejny posiedzenia to rozpatrzenie projektu uchwały w sprawie określenia stawki przebiegu pojazdu. Wójt poinformował, że po nowelizacji ustawy wprowadzono nowe zasady zwrotu kosztów jednorazowego przewozu uczniów. Jednocześnie poinformował, że rada gminy jest uprawniona do określenia w drodze uchwały stawki za 1 kilometr przebiegu pojazdu. Jednocześnie ustawodawca określił iż stawka ta nie może być niższa niż:</w:t>
      </w:r>
    </w:p>
    <w:p>
      <w:pPr>
        <w:pStyle w:val="Domylne"/>
        <w:numPr>
          <w:ilvl w:val="0"/>
          <w:numId w:val="3"/>
        </w:numPr>
        <w:bidi w:val="0"/>
        <w:spacing w:lineRule="auto" w:line="360" w:before="0" w:after="0"/>
        <w:ind w:left="196" w:right="0" w:hanging="196"/>
        <w:jc w:val="both"/>
        <w:rPr>
          <w:rFonts w:ascii="Times New Roman" w:hAnsi="Times New Roman"/>
          <w:b/>
          <w:b/>
          <w:bCs/>
        </w:rPr>
      </w:pPr>
      <w:r>
        <w:rPr>
          <w:rFonts w:ascii="Times New Roman" w:hAnsi="Times New Roman"/>
          <w:b w:val="false"/>
          <w:bCs w:val="false"/>
        </w:rPr>
        <w:t xml:space="preserve">0,5214 dla pojazdów o pojemności skokowej do 900 cm³ </w:t>
      </w:r>
    </w:p>
    <w:p>
      <w:pPr>
        <w:pStyle w:val="Domylne"/>
        <w:numPr>
          <w:ilvl w:val="0"/>
          <w:numId w:val="3"/>
        </w:numPr>
        <w:bidi w:val="0"/>
        <w:spacing w:lineRule="auto" w:line="360" w:before="0" w:after="0"/>
        <w:ind w:left="196" w:right="0" w:hanging="196"/>
        <w:jc w:val="both"/>
        <w:rPr>
          <w:rFonts w:ascii="Times New Roman" w:hAnsi="Times New Roman"/>
          <w:b/>
          <w:b/>
          <w:bCs/>
        </w:rPr>
      </w:pPr>
      <w:r>
        <w:rPr>
          <w:rFonts w:ascii="Times New Roman" w:hAnsi="Times New Roman"/>
          <w:b w:val="false"/>
          <w:bCs w:val="false"/>
        </w:rPr>
        <w:t>0,8358 dla pojazdów o pojemności skokowej powyżej 900 cm³</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 </w:t>
      </w:r>
      <w:r>
        <w:rPr>
          <w:rFonts w:ascii="Times New Roman" w:hAnsi="Times New Roman"/>
          <w:b w:val="false"/>
          <w:bCs w:val="false"/>
        </w:rPr>
        <w:tab/>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Po wyrażeniu swoich opinii przewodnicząca poddała pod jawne głosownie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2 członk</w:t>
      </w:r>
      <w:r>
        <w:rPr>
          <w:rFonts w:ascii="Times New Roman" w:hAnsi="Times New Roman"/>
          <w:b w:val="false"/>
          <w:bCs w:val="false"/>
          <w:lang w:val="es-ES_tradnl"/>
        </w:rPr>
        <w:t>ó</w:t>
      </w:r>
      <w:r>
        <w:rPr>
          <w:rFonts w:ascii="Times New Roman" w:hAnsi="Times New Roman"/>
          <w:b w:val="false"/>
          <w:bCs w:val="false"/>
        </w:rPr>
        <w:t>w, przeciw - 1,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Projekt uchwały w załączeniu do protokołu.</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Ad.4.e. </w:t>
      </w:r>
      <w:r>
        <w:rPr>
          <w:rFonts w:ascii="Times New Roman" w:hAnsi="Times New Roman"/>
          <w:b w:val="false"/>
          <w:bCs w:val="false"/>
        </w:rPr>
        <w:t xml:space="preserve">Punkt następny to rozpatrzenie projektu uchwały w sprawie ustalenia Regulaminu Określającego wysokość dodatków i innych składników wynagrodzenia dla nauczycieli zatrudnionych w szkołach prowadzonych przez Gminę Miastkowo.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Wójt K. Górski. wyjaśnił zmiany, które proponuje się wprowadzić w uchwale Nr VIII/48/19 Rady Gminy z dnia 26 listopada 2019 r.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Po wyra</w:t>
      </w:r>
      <w:r>
        <w:rPr>
          <w:rFonts w:ascii="Times New Roman" w:hAnsi="Times New Roman"/>
          <w:b w:val="false"/>
          <w:bCs w:val="false"/>
        </w:rPr>
        <w:t>żeniu swoich opinii przewodnicząca poddała pod jawne głosownie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2 członk</w:t>
      </w:r>
      <w:r>
        <w:rPr>
          <w:rFonts w:ascii="Times New Roman" w:hAnsi="Times New Roman"/>
          <w:b w:val="false"/>
          <w:bCs w:val="false"/>
          <w:lang w:val="es-ES_tradnl"/>
        </w:rPr>
        <w:t>ó</w:t>
      </w:r>
      <w:r>
        <w:rPr>
          <w:rFonts w:ascii="Times New Roman" w:hAnsi="Times New Roman"/>
          <w:b w:val="false"/>
          <w:bCs w:val="false"/>
        </w:rPr>
        <w:t>w, przeciw - 1,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Projekt uchwały w załączeniu do protokołu.</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Ad.4.f. </w:t>
      </w:r>
      <w:r>
        <w:rPr>
          <w:rFonts w:ascii="Times New Roman" w:hAnsi="Times New Roman"/>
          <w:b w:val="false"/>
          <w:bCs w:val="false"/>
        </w:rPr>
        <w:t xml:space="preserve">Punkt kolejny to rozpatrzenie projektu uchwały w sprawie określenia wyboru metody ustalenia opłaty za gospodarowanie odpadami komunalnymi, ustalenia stawki opłaty oraz określenia stawki opłaty podwyższonej. Wójt poinformował, iż do przetargu stanęły dwie firmy po analizie ofert wybrano firmę, która zaproponowała kwotę 893 945,16 zł za odbiór odpadów z terenu naszej gminy. Do kwoty oferowanej przez firmę za odbiór odpadów należy doliczyć kwotę 100 968,00 zł za wydatki administracyjne. Planuje się zatem, że kwota potrzebna na pokrycie kosztów gospodarowania odpadami łącznie wyniesie 994 913 zł jednocześnie przewyższy możliwości jakie dają wpływ z obecnie ustalonej kwoty opłat pobieranych od mieszkańców. Aby pokryć koszty związane z gospodarowaniem odpadami proponuje się przyjęcie stawki 25 zł za osobę miesięcznie oraz 75 zł jako opłata podwyższona.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Po wyra</w:t>
      </w:r>
      <w:r>
        <w:rPr>
          <w:rFonts w:ascii="Times New Roman" w:hAnsi="Times New Roman"/>
          <w:b w:val="false"/>
          <w:bCs w:val="false"/>
        </w:rPr>
        <w:t>żeniu swoich opinii przewodnicząca poddała pod jawne głosownie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2 członk</w:t>
      </w:r>
      <w:r>
        <w:rPr>
          <w:rFonts w:ascii="Times New Roman" w:hAnsi="Times New Roman"/>
          <w:b w:val="false"/>
          <w:bCs w:val="false"/>
          <w:lang w:val="es-ES_tradnl"/>
        </w:rPr>
        <w:t>ó</w:t>
      </w:r>
      <w:r>
        <w:rPr>
          <w:rFonts w:ascii="Times New Roman" w:hAnsi="Times New Roman"/>
          <w:b w:val="false"/>
          <w:bCs w:val="false"/>
        </w:rPr>
        <w:t>w, przeciw - 1,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Projekt uchwały w załączeniu do protokołu.</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Ad.5. </w:t>
      </w:r>
      <w:r>
        <w:rPr>
          <w:rFonts w:ascii="Times New Roman" w:hAnsi="Times New Roman"/>
          <w:b w:val="false"/>
          <w:bCs w:val="false"/>
        </w:rPr>
        <w:t xml:space="preserve">Punkt kolejny posiedzenia to informacja o stanie zaawansowania zadań inwestycyjnych </w:t>
        <w:br/>
        <w:t xml:space="preserve">w 2022 roku. Informacje przygotowaną przez pracownika gminy przedstawiła przewodnicząca </w:t>
        <w:br/>
        <w:t xml:space="preserve">komisji. Pytań do informacji nie było.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hd w:fill="FFFFFF" w:val="clear"/>
        </w:rPr>
      </w:pPr>
      <w:r>
        <w:rPr>
          <w:rFonts w:ascii="Times New Roman" w:hAnsi="Times New Roman"/>
          <w:b/>
          <w:bCs/>
          <w:shd w:fill="FFFFFF" w:val="clear"/>
        </w:rPr>
        <w:t xml:space="preserve">Ad. 6. </w:t>
      </w:r>
      <w:r>
        <w:rPr>
          <w:rFonts w:ascii="Times New Roman" w:hAnsi="Times New Roman"/>
          <w:b w:val="false"/>
          <w:bCs w:val="false"/>
          <w:shd w:fill="FFFFFF" w:val="clear"/>
        </w:rPr>
        <w:t xml:space="preserve">Wolne wnioski.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hd w:fill="FFFFFF" w:val="clear"/>
        </w:rPr>
      </w:pPr>
      <w:r>
        <w:rPr>
          <w:rFonts w:ascii="Times New Roman" w:hAnsi="Times New Roman"/>
          <w:b w:val="false"/>
          <w:bCs w:val="false"/>
          <w:shd w:fill="FFFFFF" w:val="clear"/>
        </w:rPr>
        <w:t xml:space="preserve">Nie poruszano żadnych spraw w wolnych wnioskach.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z w:val="32"/>
          <w:szCs w:val="32"/>
          <w:shd w:fill="FFFFFF" w:val="clear"/>
        </w:rPr>
      </w:pPr>
      <w:r>
        <w:rPr>
          <w:rFonts w:eastAsia="Times New Roman" w:cs="Times New Roman" w:ascii="Times New Roman" w:hAnsi="Times New Roman"/>
          <w:b w:val="false"/>
          <w:bCs w:val="false"/>
          <w:sz w:val="32"/>
          <w:szCs w:val="32"/>
          <w:shd w:fill="FFFFFF" w:val="clear"/>
        </w:rPr>
      </w:r>
    </w:p>
    <w:p>
      <w:pPr>
        <w:pStyle w:val="Domylne"/>
        <w:bidi w:val="0"/>
        <w:spacing w:lineRule="auto" w:line="360" w:before="0" w:after="0"/>
        <w:ind w:left="0" w:right="0" w:hanging="0"/>
        <w:jc w:val="both"/>
        <w:rPr>
          <w:sz w:val="24"/>
          <w:szCs w:val="24"/>
        </w:rPr>
      </w:pPr>
      <w:r>
        <w:rPr>
          <w:rFonts w:ascii="Times New Roman" w:hAnsi="Times New Roman"/>
          <w:b/>
          <w:bCs/>
          <w:sz w:val="24"/>
          <w:szCs w:val="24"/>
          <w:shd w:fill="FFFFFF" w:val="clear"/>
        </w:rPr>
        <w:t xml:space="preserve">Protokołowała:    </w:t>
        <w:tab/>
        <w:tab/>
        <w:tab/>
        <w:tab/>
        <w:t xml:space="preserve">              </w:t>
        <w:tab/>
        <w:t xml:space="preserve">          Przewodnicząca Komisji</w:t>
      </w:r>
    </w:p>
    <w:p>
      <w:pPr>
        <w:pStyle w:val="Domylne"/>
        <w:bidi w:val="0"/>
        <w:spacing w:lineRule="auto" w:line="360" w:before="0" w:after="0"/>
        <w:ind w:left="0" w:right="0" w:hanging="0"/>
        <w:jc w:val="both"/>
        <w:rPr>
          <w:rFonts w:ascii="Times New Roman" w:hAnsi="Times New Roman" w:eastAsia="Times New Roman" w:cs="Times New Roman"/>
          <w:b/>
          <w:b/>
          <w:bCs/>
          <w:sz w:val="24"/>
          <w:szCs w:val="24"/>
          <w:shd w:fill="FFFFFF" w:val="clear"/>
        </w:rPr>
      </w:pPr>
      <w:r>
        <w:rPr>
          <w:rFonts w:eastAsia="Times New Roman" w:cs="Times New Roman" w:ascii="Times New Roman" w:hAnsi="Times New Roman"/>
          <w:b/>
          <w:bCs/>
          <w:sz w:val="24"/>
          <w:szCs w:val="24"/>
          <w:shd w:fill="FFFFFF" w:val="clear"/>
        </w:rPr>
      </w:r>
    </w:p>
    <w:p>
      <w:pPr>
        <w:pStyle w:val="Domylne"/>
        <w:bidi w:val="0"/>
        <w:spacing w:lineRule="auto" w:line="360" w:before="0" w:after="0"/>
        <w:ind w:left="0" w:right="0" w:hanging="0"/>
        <w:jc w:val="both"/>
        <w:rPr>
          <w:sz w:val="24"/>
          <w:szCs w:val="24"/>
        </w:rPr>
      </w:pPr>
      <w:r>
        <w:rPr>
          <w:rFonts w:ascii="Times New Roman" w:hAnsi="Times New Roman"/>
          <w:b/>
          <w:bCs/>
          <w:sz w:val="24"/>
          <w:szCs w:val="24"/>
          <w:shd w:fill="FFFFFF" w:val="clear"/>
        </w:rPr>
        <w:t xml:space="preserve">Patrycja Zaremba  </w:t>
        <w:tab/>
        <w:tab/>
        <w:tab/>
        <w:tab/>
        <w:tab/>
        <w:tab/>
        <w:t xml:space="preserve">               Patrycja Zaremba</w:t>
      </w:r>
    </w:p>
    <w:sectPr>
      <w:headerReference w:type="default" r:id="rId2"/>
      <w:footerReference w:type="default" r:id="rId3"/>
      <w:type w:val="nextPage"/>
      <w:pgSz w:w="11906" w:h="16838"/>
      <w:pgMar w:left="1134" w:right="1134" w:gutter="0" w:header="709" w:top="1134" w:footer="85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Helvetica Neue">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1080" w:hanging="360"/>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800" w:hanging="360"/>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2520" w:hanging="360"/>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3240" w:hanging="360"/>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3960" w:hanging="360"/>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4680" w:hanging="360"/>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5400" w:hanging="360"/>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6120" w:hanging="360"/>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3">
    <w:lvl w:ilvl="0">
      <w:start w:val="1"/>
      <w:numFmt w:val="bullet"/>
      <w:lvlText w:val=""/>
      <w:lvlJc w:val="left"/>
      <w:pPr>
        <w:tabs>
          <w:tab w:val="num" w:pos="0"/>
        </w:tabs>
        <w:ind w:left="19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bullet"/>
      <w:lvlText w:val=""/>
      <w:lvlJc w:val="left"/>
      <w:pPr>
        <w:tabs>
          <w:tab w:val="num" w:pos="0"/>
        </w:tabs>
        <w:ind w:left="37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bullet"/>
      <w:lvlText w:val=""/>
      <w:lvlJc w:val="left"/>
      <w:pPr>
        <w:tabs>
          <w:tab w:val="num" w:pos="0"/>
        </w:tabs>
        <w:ind w:left="55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bullet"/>
      <w:lvlText w:val=""/>
      <w:lvlJc w:val="left"/>
      <w:pPr>
        <w:tabs>
          <w:tab w:val="num" w:pos="0"/>
        </w:tabs>
        <w:ind w:left="73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bullet"/>
      <w:lvlText w:val=""/>
      <w:lvlJc w:val="left"/>
      <w:pPr>
        <w:tabs>
          <w:tab w:val="num" w:pos="0"/>
        </w:tabs>
        <w:ind w:left="91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bullet"/>
      <w:lvlText w:val=""/>
      <w:lvlJc w:val="left"/>
      <w:pPr>
        <w:tabs>
          <w:tab w:val="num" w:pos="0"/>
        </w:tabs>
        <w:ind w:left="109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bullet"/>
      <w:lvlText w:val=""/>
      <w:lvlJc w:val="left"/>
      <w:pPr>
        <w:tabs>
          <w:tab w:val="num" w:pos="0"/>
        </w:tabs>
        <w:ind w:left="127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bullet"/>
      <w:lvlText w:val=""/>
      <w:lvlJc w:val="left"/>
      <w:pPr>
        <w:tabs>
          <w:tab w:val="num" w:pos="0"/>
        </w:tabs>
        <w:ind w:left="145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bullet"/>
      <w:lvlText w:val=""/>
      <w:lvlJc w:val="left"/>
      <w:pPr>
        <w:tabs>
          <w:tab w:val="num" w:pos="0"/>
        </w:tabs>
        <w:ind w:left="1636" w:hanging="196"/>
      </w:pPr>
      <w:rPr>
        <w:rFonts w:ascii="Symbol" w:hAnsi="Symbol" w:cs="Symbol" w:hint="default"/>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
    <w:lvl w:ilvl="0">
      <w:start w:val="1"/>
      <w:numFmt w:val="decimal"/>
      <w:lvlText w:val="%1."/>
      <w:lvlJc w:val="left"/>
      <w:pPr>
        <w:tabs>
          <w:tab w:val="num" w:pos="0"/>
        </w:tabs>
        <w:ind w:left="360" w:hanging="360"/>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1080" w:hanging="360"/>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800" w:hanging="360"/>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2520" w:hanging="360"/>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3240" w:hanging="360"/>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3960" w:hanging="360"/>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4680" w:hanging="360"/>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5400" w:hanging="360"/>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6120" w:hanging="360"/>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5">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6">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2"/>
    <w:lvlOverride w:ilvl="0">
      <w:startOverride w:val="1"/>
    </w:lvlOverride>
  </w:num>
  <w:num w:numId="8">
    <w:abstractNumId w:val="5"/>
  </w:num>
</w:numbering>
</file>

<file path=word/settings.xml><?xml version="1.0" encoding="utf-8"?>
<w:settings xmlns:w="http://schemas.openxmlformats.org/wordprocessingml/2006/main">
  <w:zoom w:percent="99"/>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suppressAutoHyphens w:val="true"/>
      </w:pPr>
    </w:pPrDefault>
  </w:docDefaults>
  <w:style w:type="paragraph" w:styleId="Normal" w:default="1">
    <w:name w:val="Normal"/>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next w:val="Tre"/>
    <w:qFormat/>
    <w:pPr>
      <w:keepNext w:val="true"/>
      <w:keepLines w:val="false"/>
      <w:pageBreakBefore w:val="false"/>
      <w:widowControl/>
      <w:shd w:val="clear" w:color="auto" w:fill="auto"/>
      <w:suppressAutoHyphens w:val="false"/>
      <w:bidi w:val="0"/>
      <w:spacing w:lineRule="auto" w:line="240" w:beforeAutospacing="0" w:before="0" w:afterAutospacing="0" w:after="0"/>
      <w:ind w:left="0" w:right="0" w:hanging="0"/>
      <w:jc w:val="left"/>
      <w:outlineLvl w:val="0"/>
    </w:pPr>
    <w:rPr>
      <w:rFonts w:ascii="Helvetica Neue" w:hAnsi="Helvetica Neue" w:eastAsia="Arial Unicode MS" w:cs="Arial Unicode MS"/>
      <w:b/>
      <w:bCs/>
      <w:i w:val="false"/>
      <w:iCs w:val="false"/>
      <w:caps w:val="false"/>
      <w:smallCaps w:val="false"/>
      <w:strike w:val="false"/>
      <w:dstrike w:val="false"/>
      <w:outline w:val="false"/>
      <w:emboss w:val="false"/>
      <w:imprint w:val="false"/>
      <w:vanish w:val="false"/>
      <w:color w:val="000000"/>
      <w:spacing w:val="0"/>
      <w:w w:val="100"/>
      <w:kern w:val="0"/>
      <w:position w:val="0"/>
      <w:sz w:val="36"/>
      <w:sz w:val="36"/>
      <w:szCs w:val="36"/>
      <w:u w:val="none" w:color="FFFFFF"/>
      <w:shd w:fill="auto" w:val="clear"/>
      <w:vertAlign w:val="baseline"/>
      <w:lang w:val="pl-PL" w:eastAsia="zh-CN" w:bidi="hi-IN"/>
      <w14:textOutline>
        <w14:noFill/>
      </w14:textOutline>
      <w14:textFill>
        <w14:solidFill>
          <w14:srgbClr w14:val="000000"/>
        </w14:solidFill>
      </w14:textFill>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lang w:val="zxx" w:eastAsia="zxx" w:bidi="zxx"/>
    </w:rPr>
  </w:style>
  <w:style w:type="paragraph" w:styleId="Tre">
    <w:name w:val="Treść"/>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shd w:fill="auto" w:val="clear"/>
      <w:vertAlign w:val="baseline"/>
      <w:lang w:val="pl-PL" w:eastAsia="zh-CN" w:bidi="hi-IN"/>
      <w14:textOutline>
        <w14:noFill/>
      </w14:textOutline>
      <w14:textFill>
        <w14:solidFill>
          <w14:srgbClr w14:val="000000"/>
        </w14:solidFill>
      </w14:textFil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Autospacing="0" w:before="160" w:afterAutospacing="0" w:after="0"/>
      <w:ind w:left="0" w:right="0" w:hanging="0"/>
      <w:jc w:val="left"/>
    </w:pPr>
    <w:rPr>
      <w:rFonts w:ascii="Helvetica Neue" w:hAnsi="Helvetica Neue" w:eastAsia="Helvetica Neue" w:cs="Helvetica Neue"/>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numbering" w:styleId="Litery">
    <w:name w:val="Litery"/>
    <w:qFormat/>
  </w:style>
  <w:style w:type="numbering" w:styleId="Punktor">
    <w:name w:val="Punktor"/>
    <w:qFormat/>
  </w:style>
  <w:style w:type="table" w:default="1" w:styleId="Table Normal">
    <w:name w:val="Table Normal"/>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74</TotalTime>
  <Application>LibreOffice/7.2.2.2$Windows_X86_64 LibreOffice_project/02b2acce88a210515b4a5bb2e46cbfb63fe97d56</Application>
  <AppVersion>15.0000</AppVersion>
  <Pages>7</Pages>
  <Words>1883</Words>
  <Characters>11175</Characters>
  <CharactersWithSpaces>13231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cp:lastPrinted>2022-12-13T11:34:02Z</cp:lastPrinted>
  <dcterms:modified xsi:type="dcterms:W3CDTF">2022-12-15T08:02:01Z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