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900" w:leader="none"/>
          <w:tab w:val="left" w:pos="3402" w:leader="none"/>
        </w:tabs>
        <w:spacing w:lineRule="auto" w:line="276"/>
        <w:ind w:end="-2"/>
        <w:jc w:val="both"/>
        <w:rPr/>
      </w:pPr>
      <w:r>
        <w:rPr>
          <w:b/>
          <w:bCs/>
          <w:color w:val="000000"/>
        </w:rPr>
        <w:t>Wójt Gminy Miastkowo</w:t>
      </w:r>
      <w:r>
        <w:rPr>
          <w:color w:val="000000"/>
        </w:rPr>
        <w:tab/>
        <w:tab/>
        <w:tab/>
        <w:tab/>
        <w:tab/>
        <w:tab/>
        <w:tab/>
        <w:t xml:space="preserve">     </w:t>
      </w:r>
      <w:r>
        <w:rPr>
          <w:color w:val="000000"/>
        </w:rPr>
        <w:t>załącznik nr 1 do decyz</w:t>
      </w:r>
      <w:r>
        <w:rPr>
          <w:color w:val="000000"/>
        </w:rPr>
        <w:t>ji</w:t>
      </w:r>
      <w:r>
        <w:rPr>
          <w:rFonts w:cs="Times New Roman"/>
          <w:color w:val="000000"/>
          <w:sz w:val="20"/>
          <w:u w:val="none"/>
        </w:rPr>
        <w:t xml:space="preserve"> </w:t>
      </w:r>
      <w:r>
        <w:rPr>
          <w:rFonts w:cs="Times New Roman"/>
          <w:b/>
          <w:bCs/>
          <w:color w:val="000000"/>
          <w:sz w:val="20"/>
          <w:u w:val="none"/>
        </w:rPr>
        <w:t>ul. Łomżyńska 32</w:t>
      </w:r>
      <w:r>
        <w:rPr>
          <w:rFonts w:cs="Times New Roman"/>
          <w:b/>
          <w:bCs/>
          <w:color w:val="000000"/>
          <w:sz w:val="20"/>
          <w:u w:val="none"/>
        </w:rPr>
        <w:t xml:space="preserve"> </w:t>
      </w:r>
      <w:r>
        <w:rPr>
          <w:rFonts w:cs="Times New Roman"/>
          <w:color w:val="000000"/>
          <w:sz w:val="20"/>
          <w:u w:val="none"/>
        </w:rPr>
        <w:tab/>
        <w:tab/>
        <w:tab/>
        <w:tab/>
        <w:tab/>
        <w:t xml:space="preserve">             o środowiskowych uwarunkowaniach</w:t>
      </w:r>
    </w:p>
    <w:p>
      <w:pPr>
        <w:pStyle w:val="BodyText"/>
        <w:shd w:val="clear" w:color="auto" w:fill="FFFFFF"/>
        <w:tabs>
          <w:tab w:val="clear" w:pos="708"/>
          <w:tab w:val="left" w:pos="900" w:leader="none"/>
          <w:tab w:val="left" w:pos="3402" w:leader="none"/>
        </w:tabs>
        <w:spacing w:lineRule="auto" w:line="276"/>
        <w:jc w:val="both"/>
        <w:rPr>
          <w:rFonts w:ascii="Times New Roman" w:hAnsi="Times New Roman"/>
        </w:rPr>
      </w:pPr>
      <w:r>
        <w:rPr>
          <w:rFonts w:cs="Times New Roman" w:ascii="Times New Roman" w:hAnsi="Times New Roman"/>
          <w:b/>
          <w:bCs/>
          <w:color w:val="000000"/>
          <w:sz w:val="20"/>
          <w:u w:val="none"/>
        </w:rPr>
        <w:t>18-413 Miastkowo</w:t>
      </w:r>
      <w:r>
        <w:rPr>
          <w:rFonts w:cs="Times New Roman" w:ascii="Times New Roman" w:hAnsi="Times New Roman"/>
          <w:color w:val="000000"/>
          <w:sz w:val="20"/>
          <w:u w:val="none"/>
        </w:rPr>
        <w:tab/>
        <w:tab/>
        <w:t xml:space="preserve">              </w:t>
      </w:r>
      <w:r>
        <w:rPr>
          <w:rFonts w:cs="Times New Roman" w:ascii="Times New Roman" w:hAnsi="Times New Roman"/>
          <w:color w:val="000000"/>
          <w:sz w:val="20"/>
          <w:u w:val="none"/>
        </w:rPr>
        <w:tab/>
        <w:tab/>
        <w:tab/>
        <w:t xml:space="preserve">nr IGN.6220.16.2025 z dnia </w:t>
      </w:r>
      <w:r>
        <w:rPr>
          <w:rFonts w:cs="Times New Roman" w:ascii="Times New Roman" w:hAnsi="Times New Roman"/>
          <w:color w:val="000000"/>
          <w:sz w:val="20"/>
          <w:u w:val="none"/>
        </w:rPr>
        <w:t>29</w:t>
      </w:r>
      <w:r>
        <w:rPr>
          <w:rFonts w:cs="Times New Roman" w:ascii="Times New Roman" w:hAnsi="Times New Roman"/>
          <w:color w:val="000000"/>
          <w:sz w:val="20"/>
          <w:u w:val="none"/>
        </w:rPr>
        <w:t xml:space="preserve"> lipca 2026 r.</w:t>
      </w:r>
    </w:p>
    <w:p>
      <w:pPr>
        <w:pStyle w:val="BodyText"/>
        <w:spacing w:lineRule="auto" w:line="276"/>
        <w:ind w:end="-2"/>
        <w:rPr>
          <w:rFonts w:ascii="Times New Roman" w:hAnsi="Times New Roman" w:cs="Times New Roman"/>
          <w:sz w:val="24"/>
          <w:szCs w:val="24"/>
          <w:u w:val="none"/>
        </w:rPr>
      </w:pPr>
      <w:r>
        <w:rPr>
          <w:rFonts w:cs="Times New Roman" w:ascii="Times New Roman" w:hAnsi="Times New Roman"/>
          <w:sz w:val="24"/>
          <w:szCs w:val="24"/>
          <w:u w:val="none"/>
        </w:rPr>
      </w:r>
    </w:p>
    <w:p>
      <w:pPr>
        <w:pStyle w:val="BodyText"/>
        <w:spacing w:lineRule="auto" w:line="276"/>
        <w:jc w:val="center"/>
        <w:rPr>
          <w:rFonts w:ascii="Times New Roman" w:hAnsi="Times New Roman"/>
        </w:rPr>
      </w:pPr>
      <w:r>
        <w:rPr>
          <w:rFonts w:cs="Times New Roman" w:ascii="Times New Roman" w:hAnsi="Times New Roman"/>
          <w:b/>
          <w:sz w:val="24"/>
          <w:szCs w:val="24"/>
          <w:u w:val="none"/>
        </w:rPr>
        <w:t>CHARAKTERYSTYKA PRZEDSIĘWZIĘCIA</w:t>
      </w:r>
    </w:p>
    <w:p>
      <w:pPr>
        <w:pStyle w:val="BodyText"/>
        <w:spacing w:lineRule="auto" w:line="276"/>
        <w:jc w:val="center"/>
        <w:rPr>
          <w:rFonts w:ascii="Times New Roman" w:hAnsi="Times New Roman"/>
        </w:rPr>
      </w:pPr>
      <w:r>
        <w:rPr>
          <w:rFonts w:ascii="Times New Roman" w:hAnsi="Times New Roman"/>
        </w:rPr>
      </w:r>
    </w:p>
    <w:p>
      <w:pPr>
        <w:pStyle w:val="Legenda2"/>
        <w:ind w:firstLine="540"/>
        <w:jc w:val="both"/>
        <w:rPr/>
      </w:pPr>
      <w:r>
        <w:rPr>
          <w:bCs w:val="false"/>
          <w:color w:val="000000"/>
          <w:szCs w:val="24"/>
          <w:lang w:eastAsia="pl-PL" w:bidi="pl-PL"/>
        </w:rPr>
        <w:t>Przedmiotowe</w:t>
      </w:r>
      <w:r>
        <w:rPr>
          <w:bCs w:val="false"/>
          <w:color w:val="000000"/>
          <w:szCs w:val="24"/>
        </w:rPr>
        <w:t xml:space="preserve"> przedsięwzięcie</w:t>
      </w:r>
      <w:r>
        <w:rPr>
          <w:color w:val="000000"/>
          <w:szCs w:val="24"/>
        </w:rPr>
        <w:t xml:space="preserve"> polegać będzie na </w:t>
      </w:r>
      <w:r>
        <w:rPr>
          <w:bCs w:val="false"/>
          <w:color w:val="000000"/>
          <w:szCs w:val="24"/>
        </w:rPr>
        <w:t>z</w:t>
      </w:r>
      <w:r>
        <w:rPr>
          <w:rStyle w:val="FontStyle24"/>
          <w:rFonts w:cs="Arial"/>
          <w:b w:val="false"/>
          <w:bCs w:val="false"/>
          <w:i w:val="false"/>
          <w:iCs w:val="false"/>
          <w:color w:val="000000"/>
          <w:sz w:val="24"/>
          <w:szCs w:val="24"/>
          <w:lang w:eastAsia="ar-SA"/>
        </w:rPr>
        <w:t>mianie warunków przetwarzania</w:t>
        <w:br/>
        <w:t>i zbierania odpadów w ramach Zakładu Przetwarzania i Unieszkodliwiania Odpadów</w:t>
        <w:br/>
        <w:t xml:space="preserve">w Czartorii, gm. Miastkowo. </w:t>
      </w:r>
    </w:p>
    <w:p>
      <w:pPr>
        <w:pStyle w:val="Normal"/>
        <w:spacing w:before="0" w:after="29"/>
        <w:jc w:val="both"/>
        <w:rPr/>
      </w:pPr>
      <w:r>
        <w:rPr>
          <w:rStyle w:val="FontStyle24"/>
          <w:rFonts w:cs="Arial"/>
          <w:b w:val="false"/>
          <w:bCs w:val="false"/>
          <w:i w:val="false"/>
          <w:iCs w:val="false"/>
          <w:color w:val="000000"/>
          <w:sz w:val="24"/>
          <w:szCs w:val="24"/>
          <w:lang w:eastAsia="ar-SA"/>
        </w:rPr>
        <w:tab/>
        <w:t>Przedsi</w:t>
      </w:r>
      <w:r>
        <w:rPr>
          <w:sz w:val="24"/>
        </w:rPr>
        <w:t>ęwzięcie zlokalizowane jest na terenie istniejącego Zakładu w gm. Miastkowo,</w:t>
        <w:br/>
        <w:t>m. Czartoria, na terenie działek o numerach ewidencyjnych: 234, 243, 244, 245 oraz 246 obręb 0002 Czartoria.</w:t>
      </w:r>
    </w:p>
    <w:p>
      <w:pPr>
        <w:pStyle w:val="Normal"/>
        <w:jc w:val="both"/>
        <w:rPr>
          <w:rFonts w:ascii="Times New Roman" w:hAnsi="Times New Roman"/>
        </w:rPr>
      </w:pPr>
      <w:r>
        <w:rPr>
          <w:sz w:val="24"/>
        </w:rPr>
        <w:tab/>
        <w:t>W bezpośrednim sąsiedztwie terenu objętego przedsięwzięciem znajdują się:</w:t>
      </w:r>
    </w:p>
    <w:p>
      <w:pPr>
        <w:pStyle w:val="ListParagraph"/>
        <w:numPr>
          <w:ilvl w:val="0"/>
          <w:numId w:val="8"/>
        </w:numPr>
        <w:ind w:hanging="360" w:start="426"/>
        <w:jc w:val="both"/>
        <w:rPr>
          <w:rFonts w:ascii="Times New Roman" w:hAnsi="Times New Roman"/>
        </w:rPr>
      </w:pPr>
      <w:r>
        <w:rPr>
          <w:sz w:val="24"/>
        </w:rPr>
        <w:t>od północy – pola uprawne i tereny zadrzewione,</w:t>
      </w:r>
    </w:p>
    <w:p>
      <w:pPr>
        <w:pStyle w:val="ListParagraph"/>
        <w:numPr>
          <w:ilvl w:val="0"/>
          <w:numId w:val="8"/>
        </w:numPr>
        <w:spacing w:before="0" w:after="29"/>
        <w:ind w:hanging="360" w:start="426"/>
        <w:contextualSpacing/>
        <w:jc w:val="both"/>
        <w:rPr>
          <w:rFonts w:ascii="Times New Roman" w:hAnsi="Times New Roman"/>
        </w:rPr>
      </w:pPr>
      <w:r>
        <w:rPr>
          <w:sz w:val="24"/>
        </w:rPr>
        <w:t>od wschodu – poprzez odcinek drogi gminnej zrekultywowane składowisko odpadów,</w:t>
        <w:br/>
        <w:t>a dalej pola uprawne,</w:t>
      </w:r>
    </w:p>
    <w:p>
      <w:pPr>
        <w:pStyle w:val="ListParagraph"/>
        <w:numPr>
          <w:ilvl w:val="0"/>
          <w:numId w:val="8"/>
        </w:numPr>
        <w:ind w:hanging="360" w:start="426"/>
        <w:jc w:val="both"/>
        <w:rPr>
          <w:rFonts w:ascii="Times New Roman" w:hAnsi="Times New Roman"/>
        </w:rPr>
      </w:pPr>
      <w:r>
        <w:rPr>
          <w:sz w:val="24"/>
        </w:rPr>
        <w:t>od południa i zachodu – pola uprawne (grunty rolne oraz łąki klasy IV, V i VI) a dalej tereny leśne.</w:t>
      </w:r>
    </w:p>
    <w:p>
      <w:pPr>
        <w:pStyle w:val="Normal"/>
        <w:jc w:val="both"/>
        <w:rPr>
          <w:rFonts w:ascii="Times New Roman" w:hAnsi="Times New Roman"/>
        </w:rPr>
      </w:pPr>
      <w:r>
        <w:rPr>
          <w:sz w:val="24"/>
        </w:rPr>
        <w:t>Najbliższe zabudowania stanowią zabudowę zagrodową i znajdują się w odległości około 1,4 km na południowy wschód od planowanej inwestycji, w miejscowości Korytki Leśne.</w:t>
      </w:r>
    </w:p>
    <w:p>
      <w:pPr>
        <w:pStyle w:val="Normal"/>
        <w:jc w:val="both"/>
        <w:rPr>
          <w:rFonts w:ascii="Times New Roman" w:hAnsi="Times New Roman"/>
        </w:rPr>
      </w:pPr>
      <w:r>
        <w:rPr>
          <w:sz w:val="24"/>
        </w:rPr>
        <w:tab/>
        <w:t>W szczególności przedmiotowe zamierzenie inwestycyjne polega na:</w:t>
      </w:r>
    </w:p>
    <w:p>
      <w:pPr>
        <w:pStyle w:val="ListParagraph"/>
        <w:numPr>
          <w:ilvl w:val="0"/>
          <w:numId w:val="9"/>
        </w:numPr>
        <w:ind w:hanging="360" w:start="426"/>
        <w:jc w:val="both"/>
        <w:rPr>
          <w:rFonts w:ascii="Times New Roman" w:hAnsi="Times New Roman"/>
        </w:rPr>
      </w:pPr>
      <w:r>
        <w:rPr>
          <w:sz w:val="24"/>
        </w:rPr>
        <w:t>rozbudowie instalacji przetwarzania odpadów budowlanych poprzez jej doposażenie oraz zwiększenie ilości odpadów dopuszczonych do przetwarzania z obecnych 14 700 Mg/rok do 105 000 Mg/rok. Przy czym dotychczasowe miejsce przetwarzania odpadów w tym procesie nie ulega zmianie. Zmiana dotyczy natomiast rodzajów i ilości odpadów przewidzianych do przetwarzania i wytwarzanych w wyniku przetwarzania,</w:t>
      </w:r>
    </w:p>
    <w:p>
      <w:pPr>
        <w:pStyle w:val="ListParagraph"/>
        <w:numPr>
          <w:ilvl w:val="0"/>
          <w:numId w:val="9"/>
        </w:numPr>
        <w:ind w:hanging="360" w:start="426"/>
        <w:jc w:val="both"/>
        <w:rPr>
          <w:rFonts w:ascii="Times New Roman" w:hAnsi="Times New Roman"/>
        </w:rPr>
      </w:pPr>
      <w:r>
        <w:rPr>
          <w:sz w:val="24"/>
        </w:rPr>
        <w:t>możliwości wytwarzania w wyniku procesu przetwarzania odpadów z budowy, remontów</w:t>
        <w:br/>
        <w:t>i demontażu obiektów budowlanych oraz infrastruktury drogowej produktu nie będącego odpadem w postaci kruszywa z recyklingu,</w:t>
      </w:r>
    </w:p>
    <w:p>
      <w:pPr>
        <w:pStyle w:val="ListParagraph"/>
        <w:numPr>
          <w:ilvl w:val="0"/>
          <w:numId w:val="9"/>
        </w:numPr>
        <w:ind w:hanging="360" w:start="426"/>
        <w:jc w:val="both"/>
        <w:rPr>
          <w:rFonts w:ascii="Times New Roman" w:hAnsi="Times New Roman"/>
        </w:rPr>
      </w:pPr>
      <w:r>
        <w:rPr>
          <w:sz w:val="24"/>
        </w:rPr>
        <w:t>rozbudowie części mechanicznej instalacji mechaniczno-biologicznego przetwarzania odpadów tzw. sortowni odpadów w zakresie doposażenia w prasę odpadów balastowych wraz z niezbędną infrastrukturą towarzyszącą, w tym przenośnikami. Dodatkowa prasa zlokalizowana zostanie w istniejącej Hali sortowni odpadów. Rozbudowa nie wiąże się ze zmianą zdolności przerobowej instalacji,</w:t>
      </w:r>
    </w:p>
    <w:p>
      <w:pPr>
        <w:pStyle w:val="ListParagraph"/>
        <w:numPr>
          <w:ilvl w:val="0"/>
          <w:numId w:val="9"/>
        </w:numPr>
        <w:spacing w:before="0" w:after="29"/>
        <w:ind w:hanging="360" w:start="426"/>
        <w:contextualSpacing/>
        <w:jc w:val="both"/>
        <w:rPr>
          <w:rFonts w:ascii="Times New Roman" w:hAnsi="Times New Roman"/>
        </w:rPr>
      </w:pPr>
      <w:r>
        <w:rPr>
          <w:sz w:val="24"/>
        </w:rPr>
        <w:t xml:space="preserve">zwiększeniu maksymalnej ilości odpadów dopuszczonych do przetwarzania </w:t>
        <w:br/>
        <w:t>w wariancie II pracy sortowni odpadów polegającym na przetwarzaniu odpadów zbieranych selektywnie, z obecnych 3 500 Mg/rok do 10 000 Mg/rok, przy zachowaniu dotychczasowej zdolności przerobowej instalacji do mechanicznego przetwarzania odpadów (sortowni odpadów), która wynosi 40 000 Mg/rok,</w:t>
      </w:r>
    </w:p>
    <w:p>
      <w:pPr>
        <w:pStyle w:val="ListParagraph"/>
        <w:numPr>
          <w:ilvl w:val="0"/>
          <w:numId w:val="9"/>
        </w:numPr>
        <w:spacing w:before="0" w:after="86"/>
        <w:ind w:hanging="360" w:start="426"/>
        <w:contextualSpacing/>
        <w:jc w:val="both"/>
        <w:rPr>
          <w:rFonts w:ascii="Times New Roman" w:hAnsi="Times New Roman"/>
        </w:rPr>
      </w:pPr>
      <w:r>
        <w:rPr>
          <w:sz w:val="24"/>
        </w:rPr>
        <w:t>wytwarzanie w ramach instalacji mechanicznego przetwarzania odpadów dodatkowych rodzajów odpadów tj. odzieży, tekstyliów i opakowań tekstylnych zarówno wydzielonych ze strumienia niesegregowanych (zmieszanych) odpadów komunalnych (Wariant I) jak</w:t>
        <w:br/>
        <w:t>i odpadów selektywnie zebranych (Wariant II).</w:t>
      </w:r>
    </w:p>
    <w:p>
      <w:pPr>
        <w:pStyle w:val="Normal"/>
        <w:spacing w:before="0" w:after="86"/>
        <w:jc w:val="both"/>
        <w:rPr>
          <w:rFonts w:ascii="Times New Roman" w:hAnsi="Times New Roman"/>
        </w:rPr>
      </w:pPr>
      <w:r>
        <w:rPr>
          <w:sz w:val="24"/>
        </w:rPr>
        <w:tab/>
        <w:t xml:space="preserve">Rodzaje i ilości odpadów z budowy, remontów i demontażu obiektów budowlanych oraz infrastruktury drogowej przewidzianych do przetwarzania </w:t>
      </w:r>
      <w:r>
        <w:rPr>
          <w:color w:val="000000"/>
          <w:sz w:val="24"/>
          <w:szCs w:val="24"/>
        </w:rPr>
        <w:t>w procesie odzysku R13/R12/R5 na terenie zakładu:</w:t>
      </w:r>
    </w:p>
    <w:tbl>
      <w:tblPr>
        <w:tblW w:w="5000" w:type="pct"/>
        <w:jc w:val="center"/>
        <w:tblInd w:w="0" w:type="dxa"/>
        <w:tblLayout w:type="fixed"/>
        <w:tblCellMar>
          <w:top w:w="0" w:type="dxa"/>
          <w:start w:w="5" w:type="dxa"/>
          <w:bottom w:w="0" w:type="dxa"/>
          <w:end w:w="5" w:type="dxa"/>
        </w:tblCellMar>
        <w:tblLook w:val="01e0" w:firstRow="1" w:noVBand="0" w:lastRow="1" w:firstColumn="1" w:lastColumn="1" w:noHBand="0"/>
      </w:tblPr>
      <w:tblGrid>
        <w:gridCol w:w="573"/>
        <w:gridCol w:w="1033"/>
        <w:gridCol w:w="5335"/>
        <w:gridCol w:w="2413"/>
      </w:tblGrid>
      <w:tr>
        <w:trPr>
          <w:tblHeader w:val="true"/>
          <w:trHeight w:val="20" w:hRule="atLeast"/>
        </w:trPr>
        <w:tc>
          <w:tcPr>
            <w:tcW w:w="573" w:type="dxa"/>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ind w:start="142"/>
              <w:rPr>
                <w:rFonts w:ascii="Times New Roman" w:hAnsi="Times New Roman"/>
                <w:sz w:val="20"/>
                <w:szCs w:val="20"/>
              </w:rPr>
            </w:pPr>
            <w:r>
              <w:rPr>
                <w:rFonts w:eastAsia="Arial" w:cs="Calibri"/>
                <w:b/>
                <w:bCs/>
                <w:iCs/>
                <w:w w:val="90"/>
                <w:sz w:val="20"/>
                <w:szCs w:val="20"/>
                <w:lang w:eastAsia="en-US" w:bidi="pl-PL"/>
              </w:rPr>
              <w:t>Lp.</w:t>
            </w:r>
          </w:p>
        </w:tc>
        <w:tc>
          <w:tcPr>
            <w:tcW w:w="1033" w:type="dxa"/>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jc w:val="center"/>
              <w:rPr>
                <w:rFonts w:ascii="Times New Roman" w:hAnsi="Times New Roman"/>
                <w:sz w:val="20"/>
                <w:szCs w:val="20"/>
              </w:rPr>
            </w:pPr>
            <w:r>
              <w:rPr>
                <w:rFonts w:eastAsia="Calibri" w:cs="Calibri"/>
                <w:b/>
                <w:bCs/>
                <w:iCs/>
                <w:sz w:val="20"/>
                <w:szCs w:val="20"/>
                <w:lang w:eastAsia="en-US"/>
              </w:rPr>
              <w:t>Kod</w:t>
            </w:r>
          </w:p>
          <w:p>
            <w:pPr>
              <w:pStyle w:val="Normal"/>
              <w:widowControl w:val="false"/>
              <w:jc w:val="center"/>
              <w:rPr>
                <w:rFonts w:ascii="Times New Roman" w:hAnsi="Times New Roman"/>
                <w:sz w:val="20"/>
                <w:szCs w:val="20"/>
              </w:rPr>
            </w:pPr>
            <w:r>
              <w:rPr>
                <w:rFonts w:eastAsia="Calibri" w:cs="Calibri"/>
                <w:b/>
                <w:bCs/>
                <w:iCs/>
                <w:sz w:val="20"/>
                <w:szCs w:val="20"/>
                <w:lang w:eastAsia="en-US"/>
              </w:rPr>
              <w:t>odpadu</w:t>
            </w:r>
          </w:p>
        </w:tc>
        <w:tc>
          <w:tcPr>
            <w:tcW w:w="5335" w:type="dxa"/>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ind w:start="-39" w:end="-8"/>
              <w:jc w:val="center"/>
              <w:rPr>
                <w:rFonts w:ascii="Times New Roman" w:hAnsi="Times New Roman"/>
                <w:sz w:val="20"/>
                <w:szCs w:val="20"/>
              </w:rPr>
            </w:pPr>
            <w:r>
              <w:rPr>
                <w:rFonts w:eastAsia="Arial" w:cs="Calibri"/>
                <w:b/>
                <w:bCs/>
                <w:iCs/>
                <w:sz w:val="20"/>
                <w:szCs w:val="20"/>
                <w:lang w:eastAsia="en-US" w:bidi="pl-PL"/>
              </w:rPr>
              <w:t>Rodzaj odpadu</w:t>
            </w:r>
          </w:p>
        </w:tc>
        <w:tc>
          <w:tcPr>
            <w:tcW w:w="2413" w:type="dxa"/>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ind w:start="166" w:end="161"/>
              <w:jc w:val="center"/>
              <w:rPr>
                <w:rFonts w:ascii="Times New Roman" w:hAnsi="Times New Roman"/>
                <w:sz w:val="20"/>
                <w:szCs w:val="20"/>
              </w:rPr>
            </w:pPr>
            <w:r>
              <w:rPr>
                <w:rFonts w:eastAsia="Arial" w:cs="Calibri"/>
                <w:b/>
                <w:bCs/>
                <w:iCs/>
                <w:sz w:val="20"/>
                <w:szCs w:val="20"/>
                <w:lang w:eastAsia="en-US" w:bidi="pl-PL"/>
              </w:rPr>
              <w:t>Maksymalna masa odpadów w okresie roku</w:t>
            </w:r>
          </w:p>
          <w:p>
            <w:pPr>
              <w:pStyle w:val="Normal"/>
              <w:widowControl w:val="false"/>
              <w:ind w:start="166" w:end="162"/>
              <w:jc w:val="center"/>
              <w:rPr>
                <w:rFonts w:ascii="Times New Roman" w:hAnsi="Times New Roman"/>
                <w:sz w:val="20"/>
                <w:szCs w:val="20"/>
              </w:rPr>
            </w:pPr>
            <w:r>
              <w:rPr>
                <w:rFonts w:eastAsia="Arial" w:cs="Calibri"/>
                <w:b/>
                <w:bCs/>
                <w:iCs/>
                <w:sz w:val="20"/>
                <w:szCs w:val="20"/>
                <w:lang w:eastAsia="en-US" w:bidi="pl-PL"/>
              </w:rPr>
              <w:t>[Mg/rok]</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17 01 01</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Odpady betonu oraz gruz betonowy z rozbiórek i remontów</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17 01 02</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Gruz ceglany</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17 01 03</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Odpady innych materiałów ceramicznych i elementów wyposażenia</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17 01 07</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Zmieszane odpady z betonu, gruzu ceglanego, odpadowych materiałów ceramicznych i elementów wyposażenia inne niż wymienione w 17 01 06</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17 01 80</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Usunięte tynki, tapety, okleiny itp.</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17 01 81</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Odpady z remontów i przebudowy dróg</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17 01 82</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Inne niewymienione odpady</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17 02 01</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Drewno</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17 02 02</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Szkło</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17 02 03</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Tworzywa sztuczne</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17 08 02</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Materiały budowlane zawierające gips inne niż wymienione w 17 08 01</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378" w:hRule="atLeast"/>
        </w:trPr>
        <w:tc>
          <w:tcPr>
            <w:tcW w:w="57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numPr>
                <w:ilvl w:val="0"/>
                <w:numId w:val="6"/>
              </w:numPr>
              <w:jc w:val="both"/>
              <w:rPr>
                <w:rFonts w:ascii="Times New Roman" w:hAnsi="Times New Roman" w:eastAsia="Arial" w:cs="Calibri"/>
                <w:bCs/>
                <w:iCs/>
                <w:kern w:val="2"/>
                <w:sz w:val="20"/>
                <w:szCs w:val="20"/>
                <w:lang w:bidi="pl-PL"/>
              </w:rPr>
            </w:pPr>
            <w:r>
              <w:rPr>
                <w:rFonts w:eastAsia="Arial" w:cs="Calibri"/>
                <w:bCs/>
                <w:iCs/>
                <w:kern w:val="2"/>
                <w:sz w:val="20"/>
                <w:szCs w:val="20"/>
                <w:lang w:bidi="pl-PL"/>
              </w:rPr>
            </w:r>
          </w:p>
        </w:tc>
        <w:tc>
          <w:tcPr>
            <w:tcW w:w="103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17 09 04</w:t>
            </w:r>
          </w:p>
        </w:tc>
        <w:tc>
          <w:tcPr>
            <w:tcW w:w="5335"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7"/>
              <w:rPr>
                <w:rFonts w:ascii="Times New Roman" w:hAnsi="Times New Roman"/>
                <w:sz w:val="20"/>
                <w:szCs w:val="20"/>
              </w:rPr>
            </w:pPr>
            <w:r>
              <w:rPr>
                <w:rFonts w:eastAsia="Aptos" w:cs="Calibri"/>
                <w:sz w:val="20"/>
                <w:szCs w:val="20"/>
                <w:lang w:eastAsia="en-US"/>
              </w:rPr>
              <w:t>Zmieszane odpady z budowy, remontów i demontażu inne niż wymienione w 17 09 01, 17 09 02 i 17 09 03</w:t>
            </w:r>
          </w:p>
        </w:tc>
        <w:tc>
          <w:tcPr>
            <w:tcW w:w="2413"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val="false"/>
              <w:ind w:start="106"/>
              <w:jc w:val="center"/>
              <w:rPr>
                <w:rFonts w:ascii="Times New Roman" w:hAnsi="Times New Roman"/>
                <w:sz w:val="20"/>
                <w:szCs w:val="20"/>
              </w:rPr>
            </w:pPr>
            <w:r>
              <w:rPr>
                <w:rFonts w:eastAsia="Calibri" w:cs="Calibri"/>
                <w:bCs/>
                <w:iCs/>
                <w:sz w:val="20"/>
                <w:szCs w:val="20"/>
                <w:lang w:eastAsia="en-US"/>
              </w:rPr>
              <w:t>105 000</w:t>
            </w:r>
          </w:p>
        </w:tc>
      </w:tr>
      <w:tr>
        <w:trPr>
          <w:trHeight w:val="424" w:hRule="atLeast"/>
        </w:trPr>
        <w:tc>
          <w:tcPr>
            <w:tcW w:w="9354" w:type="dxa"/>
            <w:gridSpan w:val="4"/>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ind w:start="106"/>
              <w:rPr>
                <w:rFonts w:ascii="Times New Roman" w:hAnsi="Times New Roman"/>
                <w:sz w:val="20"/>
                <w:szCs w:val="20"/>
              </w:rPr>
            </w:pPr>
            <w:r>
              <w:rPr>
                <w:rFonts w:eastAsia="Calibri" w:cs="Calibri"/>
                <w:b/>
                <w:bCs/>
                <w:iCs/>
                <w:sz w:val="20"/>
                <w:szCs w:val="20"/>
                <w:lang w:eastAsia="en-US"/>
              </w:rPr>
              <w:t>Łączna maksymalna roczna masa odpadów przewidzianych do przetwarzania: do 105 000 Mg/rok</w:t>
            </w:r>
          </w:p>
        </w:tc>
      </w:tr>
    </w:tbl>
    <w:p>
      <w:pPr>
        <w:pStyle w:val="Normal"/>
        <w:rPr>
          <w:rFonts w:ascii="Times New Roman" w:hAnsi="Times New Roman"/>
          <w:sz w:val="16"/>
        </w:rPr>
      </w:pPr>
      <w:r>
        <w:rPr>
          <w:sz w:val="16"/>
        </w:rPr>
      </w:r>
    </w:p>
    <w:p>
      <w:pPr>
        <w:pStyle w:val="Normal"/>
        <w:jc w:val="both"/>
        <w:rPr>
          <w:rFonts w:ascii="Times New Roman" w:hAnsi="Times New Roman"/>
        </w:rPr>
      </w:pPr>
      <w:r>
        <w:rPr>
          <w:sz w:val="24"/>
        </w:rPr>
        <w:t>W skład zakładu wchodzą następujące instalacje:</w:t>
      </w:r>
    </w:p>
    <w:p>
      <w:pPr>
        <w:pStyle w:val="ListParagraph"/>
        <w:numPr>
          <w:ilvl w:val="0"/>
          <w:numId w:val="10"/>
        </w:numPr>
        <w:ind w:hanging="360" w:start="426"/>
        <w:jc w:val="both"/>
        <w:rPr>
          <w:rFonts w:ascii="Times New Roman" w:hAnsi="Times New Roman"/>
        </w:rPr>
      </w:pPr>
      <w:r>
        <w:rPr>
          <w:sz w:val="24"/>
        </w:rPr>
        <w:t>do składowania odpadów o zdolności przyjmowania ponad 10 ton odpadów na dobę</w:t>
        <w:br/>
        <w:t>i całkowitej pojemności ponad 25 000 ton – składająca się z 4 kwater, z czego kwatera nr 2 została już zrekultywowana, kwatera nr 1 jest w trakcie rekultywacji,</w:t>
        <w:br/>
        <w:t>a kwatera nr 3 jest obecnie eksploatowana, dodatkowo eksploatowana jest kwatera na odpady zawierające azbest,</w:t>
      </w:r>
    </w:p>
    <w:p>
      <w:pPr>
        <w:pStyle w:val="ListParagraph"/>
        <w:numPr>
          <w:ilvl w:val="0"/>
          <w:numId w:val="10"/>
        </w:numPr>
        <w:ind w:hanging="360" w:start="426"/>
        <w:jc w:val="both"/>
        <w:rPr>
          <w:rFonts w:ascii="Times New Roman" w:hAnsi="Times New Roman"/>
        </w:rPr>
      </w:pPr>
      <w:r>
        <w:rPr>
          <w:sz w:val="24"/>
        </w:rPr>
        <w:t>do mechanicznego przetwarzania odpadów o zdolności przetwarzania do 40 000 Mg/rok przy pracy na dwie zmiany,</w:t>
      </w:r>
    </w:p>
    <w:p>
      <w:pPr>
        <w:pStyle w:val="ListParagraph"/>
        <w:numPr>
          <w:ilvl w:val="0"/>
          <w:numId w:val="10"/>
        </w:numPr>
        <w:spacing w:before="0" w:after="29"/>
        <w:ind w:hanging="360" w:start="426"/>
        <w:contextualSpacing/>
        <w:jc w:val="both"/>
        <w:rPr>
          <w:rFonts w:ascii="Times New Roman" w:hAnsi="Times New Roman"/>
        </w:rPr>
      </w:pPr>
      <w:r>
        <w:rPr>
          <w:sz w:val="24"/>
        </w:rPr>
        <w:t>do biologicznego przetwarzania odpadów frakcji podsitowej drobnej i średniej (pochodzącej z mechanicznego przetwarzania zmieszanych odpadów komunalnych), selektywnie zebranych odpadów zielonych i innych bioodpadów o zdolności przetwarzania do 20 000 Mg/rok,</w:t>
      </w:r>
    </w:p>
    <w:p>
      <w:pPr>
        <w:pStyle w:val="ListParagraph"/>
        <w:numPr>
          <w:ilvl w:val="0"/>
          <w:numId w:val="10"/>
        </w:numPr>
        <w:ind w:hanging="360" w:start="426"/>
        <w:jc w:val="both"/>
        <w:rPr>
          <w:rFonts w:ascii="Times New Roman" w:hAnsi="Times New Roman"/>
        </w:rPr>
      </w:pPr>
      <w:r>
        <w:rPr>
          <w:sz w:val="24"/>
        </w:rPr>
        <w:t>do przetwarzania odpadów wielkogabarytowych o wydajności do 5 000 Mg/rok,</w:t>
      </w:r>
    </w:p>
    <w:p>
      <w:pPr>
        <w:pStyle w:val="ListParagraph"/>
        <w:numPr>
          <w:ilvl w:val="0"/>
          <w:numId w:val="10"/>
        </w:numPr>
        <w:ind w:hanging="360" w:start="426"/>
        <w:jc w:val="both"/>
        <w:rPr>
          <w:rFonts w:ascii="Times New Roman" w:hAnsi="Times New Roman"/>
        </w:rPr>
      </w:pPr>
      <w:r>
        <w:rPr>
          <w:sz w:val="24"/>
        </w:rPr>
        <w:t>do przetwarzania zużytego sprzętu elektrycznego i elektronicznego o zdolności przetwarzania do 2 500 Mg/rok,</w:t>
      </w:r>
    </w:p>
    <w:p>
      <w:pPr>
        <w:pStyle w:val="ListParagraph"/>
        <w:numPr>
          <w:ilvl w:val="0"/>
          <w:numId w:val="10"/>
        </w:numPr>
        <w:ind w:hanging="360" w:start="426"/>
        <w:jc w:val="both"/>
        <w:rPr>
          <w:rFonts w:ascii="Times New Roman" w:hAnsi="Times New Roman"/>
        </w:rPr>
      </w:pPr>
      <w:r>
        <w:rPr>
          <w:sz w:val="24"/>
        </w:rPr>
        <w:t>do przetwarzania odpadów budowlanych o wydajności do 14 700 Mg/rok.</w:t>
      </w:r>
    </w:p>
    <w:p>
      <w:pPr>
        <w:pStyle w:val="Normal"/>
        <w:jc w:val="both"/>
        <w:rPr>
          <w:rFonts w:ascii="Times New Roman" w:hAnsi="Times New Roman"/>
          <w:sz w:val="24"/>
        </w:rPr>
      </w:pPr>
      <w:r>
        <w:rPr>
          <w:sz w:val="24"/>
        </w:rPr>
      </w:r>
    </w:p>
    <w:p>
      <w:pPr>
        <w:pStyle w:val="Normal"/>
        <w:rPr>
          <w:rFonts w:ascii="Times New Roman" w:hAnsi="Times New Roman"/>
        </w:rPr>
      </w:pPr>
      <w:r>
        <w:rPr>
          <w:sz w:val="24"/>
        </w:rPr>
        <w:t>Rodzaje i ilości odpadów przewidzianych do zbierania na terenie zakładu:</w:t>
      </w:r>
    </w:p>
    <w:tbl>
      <w:tblPr>
        <w:tblW w:w="5000" w:type="pct"/>
        <w:jc w:val="start"/>
        <w:tblInd w:w="10" w:type="dxa"/>
        <w:tblLayout w:type="fixed"/>
        <w:tblCellMar>
          <w:top w:w="0" w:type="dxa"/>
          <w:start w:w="5" w:type="dxa"/>
          <w:bottom w:w="0" w:type="dxa"/>
          <w:end w:w="5" w:type="dxa"/>
        </w:tblCellMar>
        <w:tblLook w:val="01e0" w:firstRow="1" w:noVBand="0" w:lastRow="1" w:firstColumn="1" w:lastColumn="1" w:noHBand="0"/>
      </w:tblPr>
      <w:tblGrid>
        <w:gridCol w:w="822"/>
        <w:gridCol w:w="1295"/>
        <w:gridCol w:w="5772"/>
        <w:gridCol w:w="1465"/>
      </w:tblGrid>
      <w:tr>
        <w:trPr>
          <w:tblHeader w:val="true"/>
          <w:trHeight w:val="439" w:hRule="atLeast"/>
        </w:trPr>
        <w:tc>
          <w:tcPr>
            <w:tcW w:w="822" w:type="dxa"/>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ind w:start="102"/>
              <w:jc w:val="center"/>
              <w:rPr>
                <w:rFonts w:ascii="Times New Roman" w:hAnsi="Times New Roman"/>
                <w:sz w:val="20"/>
                <w:szCs w:val="20"/>
              </w:rPr>
            </w:pPr>
            <w:r>
              <w:rPr>
                <w:rFonts w:eastAsia="Arial" w:cs="Calibri"/>
                <w:b/>
                <w:bCs/>
                <w:iCs/>
                <w:w w:val="90"/>
                <w:sz w:val="20"/>
                <w:szCs w:val="20"/>
                <w:lang w:eastAsia="en-US" w:bidi="pl-PL"/>
              </w:rPr>
              <w:t>Lp.</w:t>
            </w:r>
          </w:p>
        </w:tc>
        <w:tc>
          <w:tcPr>
            <w:tcW w:w="1295" w:type="dxa"/>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ind w:start="238" w:end="231"/>
              <w:jc w:val="center"/>
              <w:rPr>
                <w:rFonts w:ascii="Times New Roman" w:hAnsi="Times New Roman"/>
                <w:sz w:val="20"/>
                <w:szCs w:val="20"/>
              </w:rPr>
            </w:pPr>
            <w:r>
              <w:rPr>
                <w:rFonts w:eastAsia="Arial" w:cs="Calibri"/>
                <w:b/>
                <w:bCs/>
                <w:iCs/>
                <w:sz w:val="20"/>
                <w:szCs w:val="20"/>
                <w:lang w:eastAsia="en-US" w:bidi="pl-PL"/>
              </w:rPr>
              <w:t>Kod</w:t>
            </w:r>
          </w:p>
          <w:p>
            <w:pPr>
              <w:pStyle w:val="Normal"/>
              <w:widowControl w:val="false"/>
              <w:ind w:start="238" w:end="231"/>
              <w:jc w:val="center"/>
              <w:rPr>
                <w:rFonts w:ascii="Times New Roman" w:hAnsi="Times New Roman"/>
                <w:sz w:val="20"/>
                <w:szCs w:val="20"/>
              </w:rPr>
            </w:pPr>
            <w:r>
              <w:rPr>
                <w:rFonts w:eastAsia="Arial" w:cs="Calibri"/>
                <w:b/>
                <w:bCs/>
                <w:iCs/>
                <w:sz w:val="20"/>
                <w:szCs w:val="20"/>
                <w:lang w:eastAsia="en-US" w:bidi="pl-PL"/>
              </w:rPr>
              <w:t>odpadu</w:t>
            </w:r>
          </w:p>
        </w:tc>
        <w:tc>
          <w:tcPr>
            <w:tcW w:w="5772" w:type="dxa"/>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ind w:end="-7"/>
              <w:jc w:val="center"/>
              <w:rPr>
                <w:rFonts w:ascii="Times New Roman" w:hAnsi="Times New Roman"/>
                <w:sz w:val="20"/>
                <w:szCs w:val="20"/>
              </w:rPr>
            </w:pPr>
            <w:r>
              <w:rPr>
                <w:rFonts w:eastAsia="Arial" w:cs="Calibri"/>
                <w:b/>
                <w:bCs/>
                <w:iCs/>
                <w:sz w:val="20"/>
                <w:szCs w:val="20"/>
                <w:lang w:eastAsia="en-US" w:bidi="pl-PL"/>
              </w:rPr>
              <w:t>Rodzaj odpadu</w:t>
            </w:r>
          </w:p>
        </w:tc>
        <w:tc>
          <w:tcPr>
            <w:tcW w:w="1465" w:type="dxa"/>
            <w:tcBorders>
              <w:top w:val="single" w:sz="4" w:space="0" w:color="000000"/>
              <w:start w:val="single" w:sz="4" w:space="0" w:color="000000"/>
              <w:bottom w:val="single" w:sz="4" w:space="0" w:color="000000"/>
              <w:end w:val="single" w:sz="4" w:space="0" w:color="000000"/>
            </w:tcBorders>
            <w:shd w:color="auto" w:fill="BFBFBF" w:val="clear"/>
            <w:vAlign w:val="center"/>
          </w:tcPr>
          <w:p>
            <w:pPr>
              <w:pStyle w:val="Normal"/>
              <w:widowControl w:val="false"/>
              <w:ind w:start="166" w:end="161"/>
              <w:jc w:val="center"/>
              <w:rPr>
                <w:rFonts w:ascii="Times New Roman" w:hAnsi="Times New Roman"/>
                <w:sz w:val="20"/>
                <w:szCs w:val="20"/>
              </w:rPr>
            </w:pPr>
            <w:r>
              <w:rPr>
                <w:rFonts w:eastAsia="Arial" w:cs="Calibri"/>
                <w:b/>
                <w:bCs/>
                <w:iCs/>
                <w:sz w:val="20"/>
                <w:szCs w:val="20"/>
                <w:lang w:eastAsia="en-US" w:bidi="pl-PL"/>
              </w:rPr>
              <w:t>Masa odpadu</w:t>
            </w:r>
          </w:p>
          <w:p>
            <w:pPr>
              <w:pStyle w:val="Normal"/>
              <w:widowControl w:val="false"/>
              <w:ind w:start="166" w:end="161"/>
              <w:jc w:val="center"/>
              <w:rPr>
                <w:rFonts w:ascii="Times New Roman" w:hAnsi="Times New Roman"/>
                <w:sz w:val="20"/>
                <w:szCs w:val="20"/>
              </w:rPr>
            </w:pPr>
            <w:r>
              <w:rPr>
                <w:rFonts w:eastAsia="Arial" w:cs="Calibri"/>
                <w:b/>
                <w:bCs/>
                <w:iCs/>
                <w:sz w:val="20"/>
                <w:szCs w:val="20"/>
                <w:lang w:eastAsia="en-US" w:bidi="pl-PL"/>
              </w:rPr>
              <w:t>Mg/rok</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449" w:start="72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bCs/>
                <w:iCs/>
                <w:color w:val="000000"/>
                <w:sz w:val="20"/>
                <w:szCs w:val="20"/>
                <w:lang w:val="en-US" w:eastAsia="en-US"/>
              </w:rPr>
              <w:t>15 01 09</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Opakowania z tekstyliów</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500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449" w:start="72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bCs/>
                <w:iCs/>
                <w:color w:val="000000"/>
                <w:sz w:val="20"/>
                <w:szCs w:val="20"/>
                <w:lang w:eastAsia="en-US"/>
              </w:rPr>
              <w:t>16 01 03</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Zużyte opony</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100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sz w:val="20"/>
                <w:szCs w:val="20"/>
                <w:lang w:eastAsia="en-US"/>
              </w:rPr>
              <w:t>16 01 19</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Tworzywa sztuczne</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500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bCs/>
                <w:iCs/>
                <w:color w:val="000000"/>
                <w:sz w:val="20"/>
                <w:szCs w:val="20"/>
                <w:lang w:eastAsia="en-US"/>
              </w:rPr>
              <w:t>16 01 20</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Szkło</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500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cs="Calibri"/>
                <w:bCs/>
                <w:iCs/>
                <w:sz w:val="20"/>
                <w:szCs w:val="20"/>
                <w:lang w:eastAsia="en-US"/>
              </w:rPr>
              <w:t>16 01 22</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Inne niewymienione elementy</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500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17 01 01</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Odpady betonu oraz gruz betonowy z rozbiórek i remontów</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20 000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bidi="pl-PL"/>
              </w:rPr>
            </w:pPr>
            <w:r>
              <w:rPr>
                <w:rFonts w:eastAsia="Arial" w:cs="Calibri"/>
                <w:bCs/>
                <w:iCs/>
                <w:kern w:val="2"/>
                <w:sz w:val="18"/>
                <w:szCs w:val="18"/>
                <w:lang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17 01 02</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Gruz ceglany</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20 000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17 01 03</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Odpady innych materiałów ceramicznych i elementów wyposażenia</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20 000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bidi="pl-PL"/>
              </w:rPr>
            </w:pPr>
            <w:r>
              <w:rPr>
                <w:rFonts w:eastAsia="Arial" w:cs="Calibri"/>
                <w:bCs/>
                <w:iCs/>
                <w:kern w:val="2"/>
                <w:sz w:val="18"/>
                <w:szCs w:val="18"/>
                <w:lang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17 01 07</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Zmieszane odpady z betonu, gruzu ceglanego, odpadowych materiałów ceramicznych i elementów wyposażenia inne niż wymienione w 17 01 06</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20 000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bidi="pl-PL"/>
              </w:rPr>
            </w:pPr>
            <w:r>
              <w:rPr>
                <w:rFonts w:eastAsia="Arial" w:cs="Calibri"/>
                <w:bCs/>
                <w:iCs/>
                <w:kern w:val="2"/>
                <w:sz w:val="18"/>
                <w:szCs w:val="18"/>
                <w:lang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17 01 80</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Usunięte tynki, tapety, okleiny itp.</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5 000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bidi="pl-PL"/>
              </w:rPr>
            </w:pPr>
            <w:r>
              <w:rPr>
                <w:rFonts w:eastAsia="Arial" w:cs="Calibri"/>
                <w:bCs/>
                <w:iCs/>
                <w:kern w:val="2"/>
                <w:sz w:val="18"/>
                <w:szCs w:val="18"/>
                <w:lang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17 01 81</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Odpady z remontów i przebudowy dróg</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5 000</w:t>
            </w:r>
          </w:p>
        </w:tc>
      </w:tr>
      <w:tr>
        <w:trPr>
          <w:trHeight w:val="440"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bidi="pl-PL"/>
              </w:rPr>
            </w:pPr>
            <w:r>
              <w:rPr>
                <w:rFonts w:eastAsia="Arial" w:cs="Calibri"/>
                <w:bCs/>
                <w:iCs/>
                <w:kern w:val="2"/>
                <w:sz w:val="18"/>
                <w:szCs w:val="18"/>
                <w:lang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17 01 82</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Inne niewymienione odpady</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5 000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17 02 01</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Drewno</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5 000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17 02 02</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kern w:val="2"/>
                <w:sz w:val="20"/>
                <w:szCs w:val="20"/>
                <w:lang w:eastAsia="en-US"/>
              </w:rPr>
              <w:t>Szkło</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5 000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17 02 03</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kern w:val="2"/>
                <w:sz w:val="20"/>
                <w:szCs w:val="20"/>
                <w:lang w:eastAsia="en-US"/>
              </w:rPr>
              <w:t>Tworzywa sztuczne</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1 000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bCs/>
                <w:iCs/>
                <w:color w:val="000000"/>
                <w:sz w:val="20"/>
                <w:szCs w:val="20"/>
                <w:lang w:eastAsia="en-US"/>
              </w:rPr>
              <w:t>17 03 80</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Odpadowa papa</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1 000</w:t>
            </w:r>
          </w:p>
        </w:tc>
      </w:tr>
      <w:tr>
        <w:trPr>
          <w:trHeight w:val="50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cs="Calibri"/>
                <w:bCs/>
                <w:iCs/>
                <w:sz w:val="20"/>
                <w:szCs w:val="20"/>
                <w:lang w:eastAsia="en-US"/>
              </w:rPr>
              <w:t>17 06 04</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Materiały izolacyjne inne niż wymienione w 17 06 01 i 17 06 03</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500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17 08 02</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Materiały budowlane zawierające gips inne niż wymienione w 17 08 01</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5 000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bidi="pl-PL"/>
              </w:rPr>
            </w:pPr>
            <w:r>
              <w:rPr>
                <w:rFonts w:eastAsia="Arial" w:cs="Calibri"/>
                <w:bCs/>
                <w:iCs/>
                <w:kern w:val="2"/>
                <w:sz w:val="18"/>
                <w:szCs w:val="18"/>
                <w:lang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Aptos"/>
                <w:bCs/>
                <w:iCs/>
                <w:color w:val="000000"/>
                <w:kern w:val="2"/>
                <w:sz w:val="20"/>
                <w:szCs w:val="20"/>
                <w:lang w:val="en-US" w:eastAsia="en-US"/>
              </w:rPr>
              <w:t>17 09 04</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kern w:val="2"/>
                <w:sz w:val="20"/>
                <w:szCs w:val="20"/>
                <w:lang w:eastAsia="en-US"/>
              </w:rPr>
              <w:t>Zmieszane odpady z budowy, remontów i demontażu inne niż wymienione w 17 09 01, 17 09 02 i 17 09 03</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kern w:val="2"/>
                <w:sz w:val="20"/>
                <w:szCs w:val="20"/>
                <w:lang w:eastAsia="en-US" w:bidi="pl-PL"/>
              </w:rPr>
              <w:t>20 000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cs="Calibri"/>
                <w:bCs/>
                <w:iCs/>
                <w:sz w:val="20"/>
                <w:szCs w:val="20"/>
                <w:lang w:eastAsia="en-US"/>
              </w:rPr>
              <w:t>19 01 99</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Inne niewymienione odpady</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500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cs="Calibri"/>
                <w:bCs/>
                <w:iCs/>
                <w:sz w:val="20"/>
                <w:szCs w:val="20"/>
                <w:lang w:eastAsia="en-US"/>
              </w:rPr>
              <w:t>20 01 10</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Odzież</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500</w:t>
            </w:r>
          </w:p>
        </w:tc>
      </w:tr>
      <w:tr>
        <w:trPr>
          <w:trHeight w:val="439" w:hRule="atLeast"/>
        </w:trPr>
        <w:tc>
          <w:tcPr>
            <w:tcW w:w="82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numPr>
                <w:ilvl w:val="0"/>
                <w:numId w:val="7"/>
              </w:numPr>
              <w:ind w:hanging="357" w:start="470"/>
              <w:jc w:val="center"/>
              <w:rPr>
                <w:rFonts w:ascii="Times New Roman" w:hAnsi="Times New Roman" w:eastAsia="Arial" w:cs="Calibri"/>
                <w:bCs/>
                <w:iCs/>
                <w:kern w:val="2"/>
                <w:sz w:val="18"/>
                <w:szCs w:val="18"/>
                <w:lang w:val="en-US" w:bidi="pl-PL"/>
              </w:rPr>
            </w:pPr>
            <w:r>
              <w:rPr>
                <w:rFonts w:eastAsia="Arial" w:cs="Calibri"/>
                <w:bCs/>
                <w:iCs/>
                <w:kern w:val="2"/>
                <w:sz w:val="18"/>
                <w:szCs w:val="18"/>
                <w:lang w:val="en-US" w:bidi="pl-PL"/>
              </w:rPr>
            </w:r>
          </w:p>
        </w:tc>
        <w:tc>
          <w:tcPr>
            <w:tcW w:w="129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7"/>
              <w:jc w:val="center"/>
              <w:rPr>
                <w:rFonts w:ascii="Times New Roman" w:hAnsi="Times New Roman"/>
                <w:sz w:val="20"/>
                <w:szCs w:val="20"/>
              </w:rPr>
            </w:pPr>
            <w:r>
              <w:rPr>
                <w:rFonts w:eastAsia="Calibri" w:cs="Calibri"/>
                <w:bCs/>
                <w:iCs/>
                <w:sz w:val="20"/>
                <w:szCs w:val="20"/>
                <w:lang w:eastAsia="en-US"/>
              </w:rPr>
              <w:t>20 01 11</w:t>
            </w:r>
          </w:p>
        </w:tc>
        <w:tc>
          <w:tcPr>
            <w:tcW w:w="577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rPr>
                <w:rFonts w:ascii="Times New Roman" w:hAnsi="Times New Roman"/>
                <w:sz w:val="20"/>
                <w:szCs w:val="20"/>
              </w:rPr>
            </w:pPr>
            <w:r>
              <w:rPr>
                <w:rFonts w:eastAsia="Aptos"/>
                <w:sz w:val="20"/>
                <w:szCs w:val="20"/>
                <w:lang w:eastAsia="en-US"/>
              </w:rPr>
              <w:t>Tekstylia</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Cs/>
                <w:iCs/>
                <w:sz w:val="20"/>
                <w:szCs w:val="20"/>
                <w:lang w:eastAsia="en-US" w:bidi="pl-PL"/>
              </w:rPr>
              <w:t>500</w:t>
            </w:r>
          </w:p>
        </w:tc>
      </w:tr>
      <w:tr>
        <w:trPr>
          <w:trHeight w:val="439" w:hRule="atLeast"/>
        </w:trPr>
        <w:tc>
          <w:tcPr>
            <w:tcW w:w="7889" w:type="dxa"/>
            <w:gridSpan w:val="3"/>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48"/>
              <w:jc w:val="center"/>
              <w:rPr>
                <w:rFonts w:ascii="Times New Roman" w:hAnsi="Times New Roman"/>
                <w:sz w:val="20"/>
                <w:szCs w:val="20"/>
              </w:rPr>
            </w:pPr>
            <w:r>
              <w:rPr>
                <w:rFonts w:eastAsia="Calibri" w:cs="Calibri"/>
                <w:b/>
                <w:iCs/>
                <w:sz w:val="20"/>
                <w:szCs w:val="20"/>
                <w:lang w:eastAsia="en-US"/>
              </w:rPr>
              <w:t>Łączna maksymalna roczna masa odpadów przewidzianych do zbierania:</w:t>
            </w:r>
          </w:p>
        </w:tc>
        <w:tc>
          <w:tcPr>
            <w:tcW w:w="146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ind w:start="106"/>
              <w:jc w:val="center"/>
              <w:rPr>
                <w:rFonts w:ascii="Times New Roman" w:hAnsi="Times New Roman"/>
                <w:sz w:val="20"/>
                <w:szCs w:val="20"/>
              </w:rPr>
            </w:pPr>
            <w:r>
              <w:rPr>
                <w:rFonts w:eastAsia="Arial" w:cs="Calibri"/>
                <w:b/>
                <w:iCs/>
                <w:sz w:val="20"/>
                <w:szCs w:val="20"/>
                <w:lang w:eastAsia="en-US" w:bidi="pl-PL"/>
              </w:rPr>
              <w:t>25 100</w:t>
            </w:r>
            <w:r>
              <w:rPr>
                <w:rFonts w:eastAsia="Aptos"/>
                <w:b/>
                <w:iCs/>
                <w:kern w:val="2"/>
                <w:sz w:val="20"/>
                <w:szCs w:val="20"/>
                <w:lang w:val="en-US" w:eastAsia="en-US"/>
              </w:rPr>
              <w:t xml:space="preserve"> Mg/rok</w:t>
            </w:r>
          </w:p>
        </w:tc>
      </w:tr>
    </w:tbl>
    <w:p>
      <w:pPr>
        <w:pStyle w:val="Normal"/>
        <w:rPr>
          <w:rFonts w:ascii="Times New Roman" w:hAnsi="Times New Roman"/>
          <w:sz w:val="18"/>
        </w:rPr>
      </w:pPr>
      <w:r>
        <w:rPr>
          <w:sz w:val="18"/>
        </w:rPr>
      </w:r>
    </w:p>
    <w:p>
      <w:pPr>
        <w:pStyle w:val="Normal"/>
        <w:spacing w:before="60" w:after="60"/>
        <w:ind w:firstLine="708"/>
        <w:jc w:val="both"/>
        <w:rPr>
          <w:rFonts w:ascii="Times New Roman" w:hAnsi="Times New Roman"/>
        </w:rPr>
      </w:pPr>
      <w:r>
        <w:rPr>
          <w:rFonts w:eastAsia="BookmanOldStyle" w:cs="Arial"/>
          <w:sz w:val="24"/>
          <w:szCs w:val="24"/>
        </w:rPr>
        <w:t>Na terenie zajmowanym przez ww. Zakład znajdują się m.in. następujące obiekty niezbędne do prawidłowego funkcjonowania:</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budynek administracyjno-socjalny,</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sortownia odpadów w formie hali o konstrukcji stalowej z platformą przyjęć odpadów (węzłem rozładunkowym),</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miejsca magazynowania odpadów (np. zasieki, boksy magazynowe, wiaty magazynowe surowców wtórnych),</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wagi samochodowe,</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brodzik dezynfekcyjny,</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szczelny zbiornik wód deszczowych,</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pompownia ppoż. ze zbiornikiem wyrównawczym,</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stacja TRAFO,</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parking dla pojazdów osobowych,</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hala magazynowo-garażowa,</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zbiornik bezodpływowy na ścieki bytowe,</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zbiornik bezodpływowy na ścieki przemysłowe z hali sortowni,</w:t>
      </w:r>
      <w:r>
        <w:rPr>
          <w:sz w:val="24"/>
          <w:szCs w:val="24"/>
        </w:rPr>
        <w:t xml:space="preserve"> </w:t>
      </w:r>
      <w:r>
        <w:rPr>
          <w:rFonts w:eastAsia="BookmanOldStyle" w:cs="Arial"/>
          <w:sz w:val="24"/>
          <w:szCs w:val="24"/>
        </w:rPr>
        <w:t>placu przygotowania biomasy, placu do przyśpieszonego rozkładu biomasy oraz placu dojrzewania kompostu,</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kwatery składowania odpadów,</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zbiorniki odcieków składowiskowych,</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bioreaktory betonowe,</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wentylatorownia,</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biofiltr,</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zbiornik na odcieki z bioreaktorów,</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stacja pozyskiwania i zagospodarowania biogazu,</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myjnia przejazdowa dla kół samochodowych,</w:t>
      </w:r>
    </w:p>
    <w:p>
      <w:pPr>
        <w:pStyle w:val="Normal"/>
        <w:numPr>
          <w:ilvl w:val="0"/>
          <w:numId w:val="3"/>
        </w:numPr>
        <w:tabs>
          <w:tab w:val="clear" w:pos="708"/>
          <w:tab w:val="left" w:pos="426" w:leader="none"/>
        </w:tabs>
        <w:spacing w:before="60" w:after="60"/>
        <w:ind w:hanging="357" w:start="426"/>
        <w:jc w:val="both"/>
        <w:rPr>
          <w:rFonts w:ascii="Times New Roman" w:hAnsi="Times New Roman"/>
        </w:rPr>
      </w:pPr>
      <w:r>
        <w:rPr>
          <w:rFonts w:eastAsia="BookmanOldStyle" w:cs="Arial"/>
          <w:sz w:val="24"/>
          <w:szCs w:val="24"/>
        </w:rPr>
        <w:t xml:space="preserve">drogi i place wewnętrzne, </w:t>
      </w:r>
    </w:p>
    <w:p>
      <w:pPr>
        <w:pStyle w:val="Normal"/>
        <w:numPr>
          <w:ilvl w:val="0"/>
          <w:numId w:val="3"/>
        </w:numPr>
        <w:tabs>
          <w:tab w:val="clear" w:pos="708"/>
          <w:tab w:val="left" w:pos="426" w:leader="none"/>
        </w:tabs>
        <w:spacing w:before="60" w:after="0"/>
        <w:ind w:hanging="357" w:start="426"/>
        <w:jc w:val="both"/>
        <w:rPr>
          <w:rFonts w:ascii="Times New Roman" w:hAnsi="Times New Roman"/>
        </w:rPr>
      </w:pPr>
      <w:r>
        <w:rPr>
          <w:rFonts w:eastAsia="BookmanOldStyle" w:cs="Arial"/>
          <w:sz w:val="24"/>
          <w:szCs w:val="24"/>
        </w:rPr>
        <w:t>ogrodzenie terenu.</w:t>
      </w:r>
    </w:p>
    <w:p>
      <w:pPr>
        <w:pStyle w:val="Normal"/>
        <w:tabs>
          <w:tab w:val="clear" w:pos="708"/>
          <w:tab w:val="left" w:pos="426" w:leader="none"/>
        </w:tabs>
        <w:spacing w:before="60" w:after="0"/>
        <w:ind w:start="426"/>
        <w:jc w:val="both"/>
        <w:rPr>
          <w:rFonts w:ascii="Times New Roman" w:hAnsi="Times New Roman" w:eastAsia="BookmanOldStyle" w:cs="Arial"/>
          <w:sz w:val="24"/>
          <w:szCs w:val="24"/>
        </w:rPr>
      </w:pPr>
      <w:r>
        <w:rPr>
          <w:rFonts w:eastAsia="BookmanOldStyle" w:cs="Arial"/>
          <w:sz w:val="24"/>
          <w:szCs w:val="24"/>
        </w:rPr>
      </w:r>
    </w:p>
    <w:p>
      <w:pPr>
        <w:pStyle w:val="Normal"/>
        <w:spacing w:before="0" w:after="60"/>
        <w:jc w:val="both"/>
        <w:rPr>
          <w:rFonts w:ascii="Times New Roman" w:hAnsi="Times New Roman"/>
        </w:rPr>
      </w:pPr>
      <w:r>
        <w:rPr>
          <w:rFonts w:eastAsia="BookmanOldStyle" w:cs="Arial"/>
          <w:b/>
          <w:bCs/>
          <w:color w:val="000000"/>
          <w:sz w:val="24"/>
          <w:szCs w:val="24"/>
        </w:rPr>
        <w:t>Bilans terenu Zakładu:</w:t>
      </w:r>
    </w:p>
    <w:tbl>
      <w:tblPr>
        <w:tblW w:w="9062" w:type="dxa"/>
        <w:jc w:val="start"/>
        <w:tblInd w:w="113" w:type="dxa"/>
        <w:tblLayout w:type="fixed"/>
        <w:tblCellMar>
          <w:top w:w="0" w:type="dxa"/>
          <w:start w:w="108" w:type="dxa"/>
          <w:bottom w:w="0" w:type="dxa"/>
          <w:end w:w="108" w:type="dxa"/>
        </w:tblCellMar>
        <w:tblLook w:val="04a0" w:firstRow="1" w:noVBand="1" w:lastRow="0" w:firstColumn="1" w:lastColumn="0" w:noHBand="0"/>
      </w:tblPr>
      <w:tblGrid>
        <w:gridCol w:w="946"/>
        <w:gridCol w:w="1459"/>
        <w:gridCol w:w="5101"/>
        <w:gridCol w:w="1556"/>
      </w:tblGrid>
      <w:tr>
        <w:trPr/>
        <w:tc>
          <w:tcPr>
            <w:tcW w:w="946"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Normal"/>
              <w:jc w:val="center"/>
              <w:rPr>
                <w:rFonts w:ascii="Times New Roman" w:hAnsi="Times New Roman"/>
              </w:rPr>
            </w:pPr>
            <w:r>
              <w:rPr>
                <w:rFonts w:eastAsia="Aptos" w:cs="Aptos"/>
                <w:b/>
                <w:bCs/>
                <w:color w:val="000000"/>
                <w:kern w:val="2"/>
                <w:lang w:eastAsia="en-US"/>
              </w:rPr>
              <w:t>Lp.</w:t>
            </w:r>
          </w:p>
        </w:tc>
        <w:tc>
          <w:tcPr>
            <w:tcW w:w="1459"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Normal"/>
              <w:jc w:val="center"/>
              <w:rPr>
                <w:rFonts w:ascii="Times New Roman" w:hAnsi="Times New Roman"/>
              </w:rPr>
            </w:pPr>
            <w:r>
              <w:rPr>
                <w:rFonts w:eastAsia="Aptos" w:cs="Aptos"/>
                <w:b/>
                <w:bCs/>
                <w:color w:val="000000"/>
                <w:kern w:val="2"/>
                <w:lang w:eastAsia="en-US"/>
              </w:rPr>
              <w:t>Oznaczenie</w:t>
            </w:r>
          </w:p>
        </w:tc>
        <w:tc>
          <w:tcPr>
            <w:tcW w:w="5101"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Normal"/>
              <w:jc w:val="center"/>
              <w:rPr>
                <w:rFonts w:ascii="Times New Roman" w:hAnsi="Times New Roman"/>
              </w:rPr>
            </w:pPr>
            <w:r>
              <w:rPr>
                <w:rFonts w:eastAsia="Aptos" w:cs="Aptos"/>
                <w:b/>
                <w:bCs/>
                <w:color w:val="000000"/>
                <w:kern w:val="2"/>
                <w:lang w:eastAsia="en-US"/>
              </w:rPr>
              <w:t>Nazwa</w:t>
            </w:r>
          </w:p>
        </w:tc>
        <w:tc>
          <w:tcPr>
            <w:tcW w:w="1556"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Normal"/>
              <w:jc w:val="center"/>
              <w:rPr>
                <w:rFonts w:ascii="Times New Roman" w:hAnsi="Times New Roman"/>
              </w:rPr>
            </w:pPr>
            <w:r>
              <w:rPr>
                <w:rFonts w:eastAsia="Aptos" w:cs="Aptos"/>
                <w:b/>
                <w:bCs/>
                <w:color w:val="000000"/>
                <w:kern w:val="2"/>
                <w:lang w:eastAsia="en-US"/>
              </w:rPr>
              <w:t>Szacunkowa powierzchnia [m</w:t>
            </w:r>
            <w:r>
              <w:rPr>
                <w:rFonts w:eastAsia="Aptos" w:cs="Aptos"/>
                <w:b/>
                <w:bCs/>
                <w:color w:val="000000"/>
                <w:kern w:val="2"/>
                <w:vertAlign w:val="superscript"/>
                <w:lang w:eastAsia="en-US"/>
              </w:rPr>
              <w:t>2</w:t>
            </w:r>
            <w:r>
              <w:rPr>
                <w:rFonts w:eastAsia="Aptos" w:cs="Aptos"/>
                <w:b/>
                <w:bCs/>
                <w:color w:val="000000"/>
                <w:kern w:val="2"/>
                <w:lang w:eastAsia="en-US"/>
              </w:rPr>
              <w:t>]*</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0"/>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6560" w:type="dxa"/>
            <w:gridSpan w:val="2"/>
            <w:tcBorders>
              <w:top w:val="single" w:sz="4" w:space="0" w:color="000000"/>
              <w:start w:val="single" w:sz="4" w:space="0" w:color="000000"/>
              <w:bottom w:val="single" w:sz="4" w:space="0" w:color="000000"/>
              <w:end w:val="single" w:sz="4" w:space="0" w:color="000000"/>
            </w:tcBorders>
            <w:shd w:color="auto" w:fill="D9D9D9" w:val="clear"/>
          </w:tcPr>
          <w:p>
            <w:pPr>
              <w:pStyle w:val="Normal"/>
              <w:jc w:val="both"/>
              <w:rPr>
                <w:rFonts w:ascii="Times New Roman" w:hAnsi="Times New Roman"/>
              </w:rPr>
            </w:pPr>
            <w:r>
              <w:rPr>
                <w:rFonts w:eastAsia="Aptos" w:cs="Aptos"/>
                <w:b/>
                <w:bCs/>
                <w:color w:val="000000"/>
                <w:kern w:val="2"/>
                <w:lang w:eastAsia="en-US"/>
              </w:rPr>
              <w:t>Powierzchnia działek ewidencyjnych wchodzących w skład Zakładu, w tym:</w:t>
            </w:r>
          </w:p>
        </w:tc>
        <w:tc>
          <w:tcPr>
            <w:tcW w:w="1556" w:type="dxa"/>
            <w:tcBorders>
              <w:top w:val="single" w:sz="4" w:space="0" w:color="000000"/>
              <w:start w:val="single" w:sz="4" w:space="0" w:color="000000"/>
              <w:bottom w:val="single" w:sz="4" w:space="0" w:color="000000"/>
              <w:end w:val="single" w:sz="4" w:space="0" w:color="000000"/>
            </w:tcBorders>
            <w:shd w:color="auto" w:fill="D9D9D9" w:val="clear"/>
          </w:tcPr>
          <w:p>
            <w:pPr>
              <w:pStyle w:val="Normal"/>
              <w:jc w:val="center"/>
              <w:rPr>
                <w:rFonts w:ascii="Times New Roman" w:hAnsi="Times New Roman"/>
              </w:rPr>
            </w:pPr>
            <w:r>
              <w:rPr>
                <w:rFonts w:eastAsia="Aptos" w:cs="Calibri"/>
                <w:color w:val="000000"/>
                <w:kern w:val="2"/>
                <w:lang w:eastAsia="en-US"/>
              </w:rPr>
              <w:t>142 051</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6560" w:type="dxa"/>
            <w:gridSpan w:val="2"/>
            <w:tcBorders>
              <w:top w:val="single" w:sz="4" w:space="0" w:color="000000"/>
              <w:start w:val="single" w:sz="4" w:space="0" w:color="000000"/>
              <w:bottom w:val="single" w:sz="4" w:space="0" w:color="000000"/>
              <w:end w:val="single" w:sz="4" w:space="0" w:color="000000"/>
            </w:tcBorders>
          </w:tcPr>
          <w:p>
            <w:pPr>
              <w:pStyle w:val="Normal"/>
              <w:ind w:start="74"/>
              <w:jc w:val="both"/>
              <w:rPr>
                <w:rFonts w:ascii="Times New Roman" w:hAnsi="Times New Roman"/>
              </w:rPr>
            </w:pPr>
            <w:r>
              <w:rPr>
                <w:rFonts w:eastAsia="Aptos" w:cs="Aptos"/>
                <w:color w:val="000000"/>
                <w:kern w:val="2"/>
                <w:lang w:eastAsia="en-US"/>
              </w:rPr>
              <w:t>Działka nr 234</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Calibri"/>
                <w:color w:val="000000"/>
                <w:kern w:val="2"/>
                <w:lang w:eastAsia="en-US"/>
              </w:rPr>
              <w:t>55 603</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6560" w:type="dxa"/>
            <w:gridSpan w:val="2"/>
            <w:tcBorders>
              <w:top w:val="single" w:sz="4" w:space="0" w:color="000000"/>
              <w:start w:val="single" w:sz="4" w:space="0" w:color="000000"/>
              <w:bottom w:val="single" w:sz="4" w:space="0" w:color="000000"/>
              <w:end w:val="single" w:sz="4" w:space="0" w:color="000000"/>
            </w:tcBorders>
          </w:tcPr>
          <w:p>
            <w:pPr>
              <w:pStyle w:val="Normal"/>
              <w:ind w:start="74"/>
              <w:jc w:val="both"/>
              <w:rPr>
                <w:rFonts w:ascii="Times New Roman" w:hAnsi="Times New Roman"/>
              </w:rPr>
            </w:pPr>
            <w:r>
              <w:rPr>
                <w:rFonts w:eastAsia="Aptos" w:cs="Aptos"/>
                <w:color w:val="000000"/>
                <w:kern w:val="2"/>
                <w:lang w:eastAsia="en-US"/>
              </w:rPr>
              <w:t>Działka nr 243</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Calibri"/>
                <w:color w:val="000000"/>
                <w:kern w:val="2"/>
                <w:lang w:eastAsia="en-US"/>
              </w:rPr>
              <w:t>22 606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6560" w:type="dxa"/>
            <w:gridSpan w:val="2"/>
            <w:tcBorders>
              <w:top w:val="single" w:sz="4" w:space="0" w:color="000000"/>
              <w:start w:val="single" w:sz="4" w:space="0" w:color="000000"/>
              <w:bottom w:val="single" w:sz="4" w:space="0" w:color="000000"/>
              <w:end w:val="single" w:sz="4" w:space="0" w:color="000000"/>
            </w:tcBorders>
          </w:tcPr>
          <w:p>
            <w:pPr>
              <w:pStyle w:val="Normal"/>
              <w:ind w:start="74"/>
              <w:jc w:val="both"/>
              <w:rPr>
                <w:rFonts w:ascii="Times New Roman" w:hAnsi="Times New Roman"/>
              </w:rPr>
            </w:pPr>
            <w:r>
              <w:rPr>
                <w:rFonts w:eastAsia="Aptos" w:cs="Aptos"/>
                <w:color w:val="000000"/>
                <w:kern w:val="2"/>
                <w:lang w:eastAsia="en-US"/>
              </w:rPr>
              <w:t>Działka nr 244</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Calibri"/>
                <w:color w:val="000000"/>
                <w:kern w:val="2"/>
                <w:lang w:eastAsia="en-US"/>
              </w:rPr>
              <w:t>10 732</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6560" w:type="dxa"/>
            <w:gridSpan w:val="2"/>
            <w:tcBorders>
              <w:top w:val="single" w:sz="4" w:space="0" w:color="000000"/>
              <w:start w:val="single" w:sz="4" w:space="0" w:color="000000"/>
              <w:bottom w:val="single" w:sz="4" w:space="0" w:color="000000"/>
              <w:end w:val="single" w:sz="4" w:space="0" w:color="000000"/>
            </w:tcBorders>
          </w:tcPr>
          <w:p>
            <w:pPr>
              <w:pStyle w:val="Normal"/>
              <w:ind w:start="74"/>
              <w:jc w:val="both"/>
              <w:rPr>
                <w:rFonts w:ascii="Times New Roman" w:hAnsi="Times New Roman"/>
              </w:rPr>
            </w:pPr>
            <w:r>
              <w:rPr>
                <w:rFonts w:eastAsia="Aptos" w:cs="Aptos"/>
                <w:color w:val="000000"/>
                <w:kern w:val="2"/>
                <w:lang w:eastAsia="en-US"/>
              </w:rPr>
              <w:t>Działka nr 245</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Calibri"/>
                <w:color w:val="000000"/>
                <w:kern w:val="2"/>
                <w:lang w:eastAsia="en-US"/>
              </w:rPr>
              <w:t>29 557</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6560" w:type="dxa"/>
            <w:gridSpan w:val="2"/>
            <w:tcBorders>
              <w:top w:val="single" w:sz="4" w:space="0" w:color="000000"/>
              <w:start w:val="single" w:sz="4" w:space="0" w:color="000000"/>
              <w:bottom w:val="single" w:sz="4" w:space="0" w:color="000000"/>
              <w:end w:val="single" w:sz="4" w:space="0" w:color="000000"/>
            </w:tcBorders>
          </w:tcPr>
          <w:p>
            <w:pPr>
              <w:pStyle w:val="Normal"/>
              <w:ind w:start="74"/>
              <w:jc w:val="both"/>
              <w:rPr>
                <w:rFonts w:ascii="Times New Roman" w:hAnsi="Times New Roman"/>
              </w:rPr>
            </w:pPr>
            <w:r>
              <w:rPr>
                <w:rFonts w:eastAsia="Aptos" w:cs="Aptos"/>
                <w:color w:val="000000"/>
                <w:kern w:val="2"/>
                <w:lang w:eastAsia="en-US"/>
              </w:rPr>
              <w:t>Działka nr 246</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Calibri"/>
                <w:color w:val="000000"/>
                <w:kern w:val="2"/>
                <w:lang w:eastAsia="en-US"/>
              </w:rPr>
              <w:t>23 553</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0"/>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6560" w:type="dxa"/>
            <w:gridSpan w:val="2"/>
            <w:tcBorders>
              <w:top w:val="single" w:sz="4" w:space="0" w:color="000000"/>
              <w:start w:val="single" w:sz="4" w:space="0" w:color="000000"/>
              <w:bottom w:val="single" w:sz="4" w:space="0" w:color="000000"/>
              <w:end w:val="single" w:sz="4" w:space="0" w:color="000000"/>
            </w:tcBorders>
          </w:tcPr>
          <w:p>
            <w:pPr>
              <w:pStyle w:val="Normal"/>
              <w:jc w:val="both"/>
              <w:rPr>
                <w:rFonts w:ascii="Times New Roman" w:hAnsi="Times New Roman"/>
              </w:rPr>
            </w:pPr>
            <w:r>
              <w:rPr>
                <w:rFonts w:eastAsia="Aptos" w:cs="Aptos"/>
                <w:b/>
                <w:bCs/>
                <w:color w:val="000000"/>
                <w:kern w:val="2"/>
                <w:lang w:eastAsia="en-US"/>
              </w:rPr>
              <w:t>Powierzchnia obiektów Zakładu:</w:t>
            </w:r>
          </w:p>
        </w:tc>
        <w:tc>
          <w:tcPr>
            <w:tcW w:w="1556" w:type="dxa"/>
            <w:tcBorders>
              <w:top w:val="single" w:sz="4" w:space="0" w:color="000000"/>
              <w:start w:val="single" w:sz="4" w:space="0" w:color="000000"/>
              <w:bottom w:val="single" w:sz="4" w:space="0" w:color="000000"/>
              <w:end w:val="single" w:sz="4" w:space="0" w:color="000000"/>
            </w:tcBorders>
          </w:tcPr>
          <w:p>
            <w:pPr>
              <w:pStyle w:val="Normal"/>
              <w:jc w:val="center"/>
              <w:rPr>
                <w:rFonts w:ascii="Times New Roman" w:hAnsi="Times New Roman"/>
              </w:rPr>
            </w:pPr>
            <w:r>
              <w:rPr>
                <w:rFonts w:eastAsia="Aptos" w:cs="Aptos"/>
                <w:b/>
                <w:bCs/>
                <w:color w:val="000000"/>
                <w:kern w:val="2"/>
                <w:lang w:eastAsia="en-US"/>
              </w:rPr>
              <w:t>9 0731</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ptos"/>
                <w:color w:val="000000"/>
                <w:kern w:val="2"/>
                <w:lang w:eastAsia="en-US"/>
              </w:rPr>
              <w:t>-</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Biofiltr kompostowni</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126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ptos"/>
                <w:color w:val="000000"/>
                <w:kern w:val="2"/>
                <w:lang w:eastAsia="en-US"/>
              </w:rPr>
              <w:t>-</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Budynek administracyjno-socjalny (nowy)</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490</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Budynek biurowo-socjalny</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265</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10</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Kwatera azbestu</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6 346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11</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Kwatera nr 1</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10 067</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12</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Kwatera nr 2</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11 483</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13</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Kwatera nr 3</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22 408</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14</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Magazyn odpadów budowlanych</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3 241</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16</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Magazyn balastu</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1 143</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17</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Magazyn odpadów wielkogabarytowych</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843</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18</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Magazyn balastu</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858</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19</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Wiata namiotowa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56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Sortownia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2 114</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20</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Wiata namiotowa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64</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21</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Plac do przetwarzania i magazynowania odpadów budowlanych i wielkogabarytowych oraz magazynowania złomu</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4 848</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22</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Agregat prądotwórczy</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25</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23</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Stacja Trafo</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15</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24</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Zbiornik p.poż. 150 m</w:t>
            </w:r>
            <w:r>
              <w:rPr>
                <w:rFonts w:eastAsia="Aptos" w:cs="Arial"/>
                <w:color w:val="000000"/>
                <w:kern w:val="2"/>
                <w:vertAlign w:val="superscript"/>
                <w:lang w:eastAsia="en-US"/>
              </w:rPr>
              <w:t>3</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39</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25</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Zbiornik p.poż. 200 m</w:t>
            </w:r>
            <w:r>
              <w:rPr>
                <w:rFonts w:eastAsia="Aptos" w:cs="Arial"/>
                <w:color w:val="000000"/>
                <w:kern w:val="2"/>
                <w:vertAlign w:val="superscript"/>
                <w:lang w:eastAsia="en-US"/>
              </w:rPr>
              <w:t>3</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146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26</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Zbiornik na odcieki 120 m</w:t>
            </w:r>
            <w:r>
              <w:rPr>
                <w:rFonts w:eastAsia="Aptos" w:cs="Arial"/>
                <w:color w:val="000000"/>
                <w:kern w:val="2"/>
                <w:vertAlign w:val="superscript"/>
                <w:lang w:eastAsia="en-US"/>
              </w:rPr>
              <w:t>3</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252</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27</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Zbiornik na odcieki 584 m</w:t>
            </w:r>
            <w:r>
              <w:rPr>
                <w:rFonts w:eastAsia="Aptos" w:cs="Arial"/>
                <w:color w:val="000000"/>
                <w:kern w:val="2"/>
                <w:vertAlign w:val="superscript"/>
                <w:lang w:eastAsia="en-US"/>
              </w:rPr>
              <w:t>3</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592</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28</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Zbiornik na odcieki 470 m</w:t>
            </w:r>
            <w:r>
              <w:rPr>
                <w:rFonts w:eastAsia="Aptos" w:cs="Arial"/>
                <w:color w:val="000000"/>
                <w:kern w:val="2"/>
                <w:vertAlign w:val="superscript"/>
                <w:lang w:eastAsia="en-US"/>
              </w:rPr>
              <w:t>3</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462</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29</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Zbiornik na odcieki 750 m</w:t>
            </w:r>
            <w:r>
              <w:rPr>
                <w:rFonts w:eastAsia="Aptos" w:cs="Arial"/>
                <w:color w:val="000000"/>
                <w:kern w:val="2"/>
                <w:vertAlign w:val="superscript"/>
                <w:lang w:eastAsia="en-US"/>
              </w:rPr>
              <w:t>3</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635</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3</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Hala namiotowa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601</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30</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Magazyn odpadów niepalnych</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2 833</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31</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Tunel namiotowy</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178</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33</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Biogazownia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14</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4</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Kompostownia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836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5</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Magazyn organicznego środka "Łomżyniaczek"</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458</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6</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Magazyn kompostu</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865</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7</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Magazyn balastu</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936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8</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Wiata magazynowa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576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Ob. nr 9</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Wiata magazynowa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148</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Waga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54</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rial"/>
                <w:color w:val="000000"/>
                <w:kern w:val="2"/>
                <w:lang w:eastAsia="en-US"/>
              </w:rPr>
              <w:t>Waga</w:t>
            </w:r>
          </w:p>
        </w:tc>
        <w:tc>
          <w:tcPr>
            <w:tcW w:w="1556" w:type="dxa"/>
            <w:tcBorders>
              <w:top w:val="single" w:sz="4" w:space="0" w:color="000000"/>
              <w:start w:val="single" w:sz="4" w:space="0" w:color="000000"/>
              <w:bottom w:val="single" w:sz="4" w:space="0" w:color="000000"/>
              <w:end w:val="single" w:sz="4" w:space="0" w:color="000000"/>
            </w:tcBorders>
            <w:vAlign w:val="bottom"/>
          </w:tcPr>
          <w:p>
            <w:pPr>
              <w:pStyle w:val="Normal"/>
              <w:jc w:val="center"/>
              <w:rPr>
                <w:rFonts w:ascii="Times New Roman" w:hAnsi="Times New Roman"/>
              </w:rPr>
            </w:pPr>
            <w:r>
              <w:rPr>
                <w:rFonts w:eastAsia="Aptos" w:cs="Arial"/>
                <w:color w:val="000000"/>
                <w:kern w:val="2"/>
                <w:lang w:eastAsia="en-US"/>
              </w:rPr>
              <w:t>86</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ptos"/>
                <w:color w:val="000000"/>
                <w:kern w:val="2"/>
                <w:lang w:eastAsia="en-US"/>
              </w:rPr>
              <w:t>-</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ptos"/>
                <w:color w:val="000000"/>
                <w:kern w:val="2"/>
                <w:lang w:eastAsia="en-US"/>
              </w:rPr>
              <w:t>Drogi i place utwardzone</w:t>
            </w:r>
          </w:p>
        </w:tc>
        <w:tc>
          <w:tcPr>
            <w:tcW w:w="1556" w:type="dxa"/>
            <w:tcBorders>
              <w:top w:val="single" w:sz="4" w:space="0" w:color="000000"/>
              <w:start w:val="single" w:sz="4" w:space="0" w:color="000000"/>
              <w:bottom w:val="single" w:sz="4" w:space="0" w:color="000000"/>
              <w:end w:val="single" w:sz="4" w:space="0" w:color="000000"/>
            </w:tcBorders>
          </w:tcPr>
          <w:p>
            <w:pPr>
              <w:pStyle w:val="Normal"/>
              <w:jc w:val="center"/>
              <w:rPr>
                <w:rFonts w:ascii="Times New Roman" w:hAnsi="Times New Roman"/>
              </w:rPr>
            </w:pPr>
            <w:r>
              <w:rPr>
                <w:rFonts w:eastAsia="Aptos" w:cs="Aptos"/>
                <w:color w:val="000000"/>
                <w:kern w:val="2"/>
                <w:lang w:eastAsia="en-US"/>
              </w:rPr>
              <w:t>11 411</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1"/>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1459"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ptos"/>
                <w:color w:val="000000"/>
                <w:kern w:val="2"/>
                <w:lang w:eastAsia="en-US"/>
              </w:rPr>
              <w:t>-</w:t>
            </w:r>
          </w:p>
        </w:tc>
        <w:tc>
          <w:tcPr>
            <w:tcW w:w="5101" w:type="dxa"/>
            <w:tcBorders>
              <w:top w:val="single" w:sz="4" w:space="0" w:color="000000"/>
              <w:start w:val="single" w:sz="4" w:space="0" w:color="000000"/>
              <w:bottom w:val="single" w:sz="4" w:space="0" w:color="000000"/>
              <w:end w:val="single" w:sz="4" w:space="0" w:color="000000"/>
            </w:tcBorders>
            <w:vAlign w:val="bottom"/>
          </w:tcPr>
          <w:p>
            <w:pPr>
              <w:pStyle w:val="Normal"/>
              <w:jc w:val="both"/>
              <w:rPr>
                <w:rFonts w:ascii="Times New Roman" w:hAnsi="Times New Roman"/>
              </w:rPr>
            </w:pPr>
            <w:r>
              <w:rPr>
                <w:rFonts w:eastAsia="Aptos" w:cs="Aptos"/>
                <w:color w:val="000000"/>
                <w:kern w:val="2"/>
                <w:lang w:eastAsia="en-US"/>
              </w:rPr>
              <w:t>Drogi i place o nawierzchni żwirowej/gruntowej</w:t>
            </w:r>
          </w:p>
        </w:tc>
        <w:tc>
          <w:tcPr>
            <w:tcW w:w="1556" w:type="dxa"/>
            <w:tcBorders>
              <w:top w:val="single" w:sz="4" w:space="0" w:color="000000"/>
              <w:start w:val="single" w:sz="4" w:space="0" w:color="000000"/>
              <w:bottom w:val="single" w:sz="4" w:space="0" w:color="000000"/>
              <w:end w:val="single" w:sz="4" w:space="0" w:color="000000"/>
            </w:tcBorders>
          </w:tcPr>
          <w:p>
            <w:pPr>
              <w:pStyle w:val="Normal"/>
              <w:jc w:val="center"/>
              <w:rPr>
                <w:rFonts w:ascii="Times New Roman" w:hAnsi="Times New Roman"/>
              </w:rPr>
            </w:pPr>
            <w:r>
              <w:rPr>
                <w:rFonts w:eastAsia="Aptos" w:cs="Aptos"/>
                <w:color w:val="000000"/>
                <w:kern w:val="2"/>
                <w:lang w:eastAsia="en-US"/>
              </w:rPr>
              <w:t>4 444</w:t>
            </w:r>
          </w:p>
        </w:tc>
      </w:tr>
      <w:tr>
        <w:trPr/>
        <w:tc>
          <w:tcPr>
            <w:tcW w:w="946" w:type="dxa"/>
            <w:tcBorders>
              <w:top w:val="single" w:sz="4" w:space="0" w:color="000000"/>
              <w:start w:val="single" w:sz="4" w:space="0" w:color="000000"/>
              <w:bottom w:val="single" w:sz="4" w:space="0" w:color="000000"/>
              <w:end w:val="single" w:sz="4" w:space="0" w:color="000000"/>
            </w:tcBorders>
          </w:tcPr>
          <w:p>
            <w:pPr>
              <w:pStyle w:val="Normal"/>
              <w:numPr>
                <w:ilvl w:val="0"/>
                <w:numId w:val="4"/>
              </w:numPr>
              <w:spacing w:lineRule="auto" w:line="278" w:before="0" w:after="0"/>
              <w:contextualSpacing/>
              <w:jc w:val="both"/>
              <w:rPr>
                <w:rFonts w:ascii="Times New Roman" w:hAnsi="Times New Roman" w:eastAsia="Aptos" w:cs="Aptos"/>
                <w:color w:val="000000"/>
                <w:kern w:val="2"/>
                <w:lang w:eastAsia="en-US"/>
              </w:rPr>
            </w:pPr>
            <w:r>
              <w:rPr>
                <w:rFonts w:eastAsia="Aptos" w:cs="Aptos"/>
                <w:color w:val="000000"/>
                <w:kern w:val="2"/>
                <w:lang w:eastAsia="en-US"/>
              </w:rPr>
            </w:r>
          </w:p>
        </w:tc>
        <w:tc>
          <w:tcPr>
            <w:tcW w:w="6560" w:type="dxa"/>
            <w:gridSpan w:val="2"/>
            <w:tcBorders>
              <w:top w:val="single" w:sz="4" w:space="0" w:color="000000"/>
              <w:start w:val="single" w:sz="4" w:space="0" w:color="000000"/>
              <w:bottom w:val="single" w:sz="4" w:space="0" w:color="000000"/>
              <w:end w:val="single" w:sz="4" w:space="0" w:color="000000"/>
            </w:tcBorders>
            <w:shd w:color="auto" w:fill="D9D9D9" w:val="clear"/>
            <w:vAlign w:val="bottom"/>
          </w:tcPr>
          <w:p>
            <w:pPr>
              <w:pStyle w:val="Normal"/>
              <w:jc w:val="both"/>
              <w:rPr>
                <w:rFonts w:ascii="Times New Roman" w:hAnsi="Times New Roman"/>
              </w:rPr>
            </w:pPr>
            <w:r>
              <w:rPr>
                <w:rFonts w:eastAsia="Aptos" w:cs="Aptos"/>
                <w:b/>
                <w:bCs/>
                <w:color w:val="000000"/>
                <w:kern w:val="2"/>
                <w:lang w:eastAsia="en-US"/>
              </w:rPr>
              <w:t>Tereny biologicznie czynne, rezerwa terenu</w:t>
            </w:r>
          </w:p>
        </w:tc>
        <w:tc>
          <w:tcPr>
            <w:tcW w:w="1556" w:type="dxa"/>
            <w:tcBorders>
              <w:top w:val="single" w:sz="4" w:space="0" w:color="000000"/>
              <w:start w:val="single" w:sz="4" w:space="0" w:color="000000"/>
              <w:bottom w:val="single" w:sz="4" w:space="0" w:color="000000"/>
              <w:end w:val="single" w:sz="4" w:space="0" w:color="000000"/>
            </w:tcBorders>
            <w:shd w:color="auto" w:fill="D9D9D9" w:val="clear"/>
          </w:tcPr>
          <w:p>
            <w:pPr>
              <w:pStyle w:val="Normal"/>
              <w:jc w:val="center"/>
              <w:rPr>
                <w:rFonts w:ascii="Times New Roman" w:hAnsi="Times New Roman"/>
              </w:rPr>
            </w:pPr>
            <w:r>
              <w:rPr>
                <w:rFonts w:eastAsia="Aptos" w:cs="Aptos"/>
                <w:b/>
                <w:bCs/>
                <w:color w:val="000000"/>
                <w:kern w:val="2"/>
                <w:lang w:eastAsia="en-US"/>
              </w:rPr>
              <w:t>51 320</w:t>
            </w:r>
          </w:p>
        </w:tc>
      </w:tr>
    </w:tbl>
    <w:p>
      <w:pPr>
        <w:pStyle w:val="Normal"/>
        <w:spacing w:before="240" w:after="0"/>
        <w:jc w:val="both"/>
        <w:rPr>
          <w:rFonts w:ascii="Times New Roman" w:hAnsi="Times New Roman"/>
        </w:rPr>
      </w:pPr>
      <w:r>
        <w:rPr>
          <w:sz w:val="24"/>
        </w:rPr>
        <w:tab/>
      </w:r>
      <w:r>
        <w:rPr>
          <w:sz w:val="24"/>
          <w:szCs w:val="24"/>
        </w:rPr>
        <w:t>Docelowa technologia przetwarzania odpadów budowlanych:</w:t>
      </w:r>
    </w:p>
    <w:p>
      <w:pPr>
        <w:pStyle w:val="Normal"/>
        <w:spacing w:before="0" w:after="86"/>
        <w:jc w:val="both"/>
        <w:rPr>
          <w:rFonts w:ascii="Times New Roman" w:hAnsi="Times New Roman"/>
        </w:rPr>
      </w:pPr>
      <w:r>
        <w:rPr>
          <w:sz w:val="24"/>
          <w:szCs w:val="24"/>
        </w:rPr>
        <w:t>Pojazdy dostarczające odpady będą ważone w celu określenia masy odpadów. Dostarczane odpady rozładowywane będą w obrębie istniejącego placu magazynu odpadów budowlanych. Odpady magazynowane będą w wyznaczonym miejscu magazynowania odpadów przed procesem przetwarzania: luzem w stosach, w pojemnikach/kontenerach lub workach. Dopuszcza się również magazynowanie odpadów np. drewna, tworzyw sztucznych w innych miejscach magazynowania odpadów zgodnie z pozwoleniem zintegrowanym. Przetwarzanie odpadów prowadzone będzie manualnie przez pracowników w ramach placu przetwarzania</w:t>
        <w:br/>
        <w:t>i magazynowania odpadów budowlanych i placu magazynowania odpadów budowlanych poprzez proste wydzielanie odpadów z wykorzystaniem prostych narzędzi. W wyniku manualnej segregacji przewiduje się wydzielania m.in. odpadów drewna, dużych tworzyw sztucznych, szkła, płyt gipsowo-kartonowych, materiałów izolacyjnych, papy oraz metali. Przewiduje się również prowadzenie wydzielania frakcji odpadów poprzez wstępną segregację w trakcie załadunku odpadów za pomocą ładowarki do przesiewacza wibracyjnego i kruszarki odpadów. Po wstępnej manualnej segregacji pozostałe odpady podawane będą za pomocą ładowarki do rozdrabniacza/kruszarki odpadów fakultatywnie wyposażonej w separatory metali (wydzielenie metali). Wydzielone metale podawane są do podstawionego kontenera. Strumień odpadów rozdrobniony za pomocą rozdrabniacza/kruszarki podawany jest przenośnikiem do przesiewacza odpadów w celu wydzielenie odpowiednich frakcji granulometrycznych. Dopuszcza się prowadzenie pośredniego magazynowania odpadów pomiędzy procesem rozdrabniania</w:t>
        <w:br/>
        <w:t>i przesiewania odpadów. Fakultatywnie dopuszcza się prowadzenie dodatkowych procesów przetwarzania odpadów polegających na separacji, doczyszczaniu wybranych frakcji odpadów za pomocą separatora powietrznego i/lub w kabinie sortowniczej (linia sortownicza). Wydzielone frakcje odpadów magazynowane będą selektywnie luzem,</w:t>
        <w:br/>
        <w:t>w pojemnikach/kontenerach lub workach w wyznaczonych miejscach magazynowania odpadów, zgodnie z pozwoleniem zintegrowanym. W wyniku procesu przewiduje się wytwarzanie kruszywa z recyklingu, nie będącego odpadem lub odpadów. Łączna maksymalna roczna masa odpadów przewidzianych do przetwarzania wyniesie do 105 000 Mg/rok.</w:t>
      </w:r>
    </w:p>
    <w:p>
      <w:pPr>
        <w:pStyle w:val="Normal"/>
        <w:jc w:val="both"/>
        <w:rPr>
          <w:rFonts w:ascii="Times New Roman" w:hAnsi="Times New Roman"/>
        </w:rPr>
      </w:pPr>
      <w:r>
        <w:rPr>
          <w:sz w:val="24"/>
          <w:szCs w:val="24"/>
        </w:rPr>
        <w:tab/>
        <w:t>Przetwarzanie odpadów zbieranych selektywnie w ramach instalacji do mechanicznobiologicznego przetwarzania niesegregowanych (zmieszanych) odpadów komunalnych:</w:t>
      </w:r>
    </w:p>
    <w:p>
      <w:pPr>
        <w:pStyle w:val="Normal"/>
        <w:jc w:val="both"/>
        <w:rPr>
          <w:rFonts w:ascii="Times New Roman" w:hAnsi="Times New Roman"/>
        </w:rPr>
      </w:pPr>
      <w:r>
        <w:rPr>
          <w:sz w:val="24"/>
          <w:szCs w:val="24"/>
        </w:rPr>
        <w:tab/>
        <w:t>Przedmiotowe przedsięwzięcie dotyczy zwiększenia maksymalnej rocznej ilości odpadu o kodzie 15 01 06 (Zmieszane odpady opakowaniowe) przetwarzanego w wariancie II pracy instalacji do mechanicznego przetwarzania odpadów (sortowni odpadów), polegającym na przetwarzaniu odpadów zbieranych selektywnie. Zgodnie z obowiązującym pozwoleniem zintegrowanym dopuszcza się przetwarzanie tego rodzaju odpadu w ilości do</w:t>
        <w:br/>
        <w:t>3 500 Mg/rok. Zwiększa się roczną ilości przetwarzanych odpadów do 10 000 Mg/rok przy zachowaniu dotychczasowej zdolności przerobowej instalacji do mechanicznego przetwarzania odpadów (sortowni odpadów), która wynosi 40 000 Mg/rok.</w:t>
      </w:r>
    </w:p>
    <w:p>
      <w:pPr>
        <w:pStyle w:val="Normal"/>
        <w:jc w:val="both"/>
        <w:rPr>
          <w:rFonts w:ascii="Times New Roman" w:hAnsi="Times New Roman"/>
        </w:rPr>
      </w:pPr>
      <w:r>
        <w:rPr>
          <w:sz w:val="24"/>
          <w:szCs w:val="24"/>
        </w:rPr>
        <w:tab/>
        <w:t>Ponadto wnioskodawca dążąc do zwiększenia odzysku odpadów tekstylnych przewiduje również możliwość wytwarzania w ramach instalacji mechanicznego przetwarzania odpadów dodatkowych rodzajów odpadów tj. odzieży, tekstyliów i opakowań tekstylnych zarówno wydzielonych ze strumienia niesegregowanych (zmieszanych) odpadów komunalnych (Wariant I) jak i odpadów selektywnie zebranych (Wariant II). Jednocześnie nie przewiduje się zwiększenia maksymalnej łącznej masy wytwarzanych odpadów w związku z prowadzeniem przetwarzania odpadów w instalacji.</w:t>
      </w:r>
    </w:p>
    <w:p>
      <w:pPr>
        <w:pStyle w:val="Normal"/>
        <w:jc w:val="both"/>
        <w:rPr>
          <w:rFonts w:ascii="Times New Roman" w:hAnsi="Times New Roman"/>
        </w:rPr>
      </w:pPr>
      <w:r>
        <w:rPr>
          <w:sz w:val="24"/>
          <w:szCs w:val="24"/>
        </w:rPr>
        <w:tab/>
        <w:t>Przedsięwzięcie polega także na rozbudowie istniejącej linii przetwarzania odpadów zlokalizowanej w hali sortowni poprzez doposażenie w drugą prasę belującą wraz</w:t>
        <w:br/>
        <w:t>z towarzyszącym systemem przenośników. Obecnie linia wyposażona jest w prasę belującą dedykowaną dla surowców wydzielonych ze strumienia odpadów np. papieru, tworzyw sztucznych, kartonu itp. Natomiast frakcja balastowa (resztkowa) kierowana jest obecnie na przenośnik rewersyjny podający odpad do podstawionych kontenerów. Docelowo przewiduje się wprowadzenie możliwości podawania balastu posortowniczego do drugiej prasy belującej w celu zbelowania odpadu. Powyższe poprawi warunki magazynowania odpadu (ograniczenie przemieszczania poza miejsce magazynowania) oraz usprawni transport tego odpadu do docelowego odbiorcy. Rozbudowa instalacji o drugą prasę belującą nie wiąże się ze zwiększeniem zdolności przerobowej instalacji.</w:t>
      </w:r>
    </w:p>
    <w:p>
      <w:pPr>
        <w:pStyle w:val="Normal"/>
        <w:jc w:val="both"/>
        <w:rPr>
          <w:rFonts w:ascii="Times New Roman" w:hAnsi="Times New Roman"/>
        </w:rPr>
      </w:pPr>
      <w:r>
        <w:rPr>
          <w:sz w:val="24"/>
          <w:szCs w:val="24"/>
        </w:rPr>
        <w:tab/>
        <w:t>Nie przewiduje się zmian w zakresie miejsca magazynowania odpadów przed poddaniem procesowi przetwarzania oraz charakterystycznych parametrów miejsca magazynowania odpadów.</w:t>
      </w:r>
    </w:p>
    <w:p>
      <w:pPr>
        <w:pStyle w:val="Normal"/>
        <w:jc w:val="both"/>
        <w:rPr>
          <w:rFonts w:ascii="Times New Roman" w:hAnsi="Times New Roman"/>
        </w:rPr>
      </w:pPr>
      <w:r>
        <w:rPr>
          <w:sz w:val="24"/>
          <w:szCs w:val="24"/>
        </w:rPr>
        <w:tab/>
        <w:t>W związku ze zwiększeniem ilości odpadu o kodzie 15 01 06 przewidzianego do przetwarzania w ramach instalacji do mechanicznego przetwarzania odpadów (sortowni odpadów) przewiduje się zmianę ilości rocznej odpadów o kodach 15 01 01, 15 01 02, 15 01 04, 15 01 05, 15 01 07, 19 12 01, 19 12 02, 19 12 03 wytwarzanych w ramach tego procesu.</w:t>
      </w:r>
    </w:p>
    <w:p>
      <w:pPr>
        <w:pStyle w:val="Normal"/>
        <w:jc w:val="both"/>
        <w:rPr>
          <w:rFonts w:ascii="Times New Roman" w:hAnsi="Times New Roman"/>
        </w:rPr>
      </w:pPr>
      <w:r>
        <w:rPr>
          <w:sz w:val="24"/>
          <w:szCs w:val="24"/>
        </w:rPr>
        <w:tab/>
        <w:t xml:space="preserve">Ponadto przedsięwzięcie obejmuje uwzględnienie możliwości wytwarzania </w:t>
        <w:br/>
        <w:t xml:space="preserve">w wyniku przetwarzania odpadów w obu wariantach pracy instalacji do mechanicznego przetwarzania odpadów (sortowni odpadów) odpadów o kodzie 15 01 09 (Opakowania </w:t>
        <w:br/>
        <w:t>z tekstyliów), 19 12 08, 20 01 10 (Odzież) i 20 01 11 (Tekstylia).</w:t>
      </w:r>
    </w:p>
    <w:p>
      <w:pPr>
        <w:pStyle w:val="Normal"/>
        <w:spacing w:before="240" w:after="0"/>
        <w:jc w:val="both"/>
        <w:rPr>
          <w:rFonts w:ascii="Times New Roman" w:hAnsi="Times New Roman"/>
        </w:rPr>
      </w:pPr>
      <w:r>
        <w:rPr>
          <w:sz w:val="24"/>
          <w:szCs w:val="24"/>
        </w:rPr>
        <w:t>Zbieranie odpadów:</w:t>
      </w:r>
    </w:p>
    <w:p>
      <w:pPr>
        <w:pStyle w:val="Normal"/>
        <w:jc w:val="both"/>
        <w:rPr>
          <w:rFonts w:ascii="Times New Roman" w:hAnsi="Times New Roman"/>
        </w:rPr>
      </w:pPr>
      <w:r>
        <w:rPr>
          <w:sz w:val="24"/>
          <w:szCs w:val="24"/>
        </w:rPr>
        <w:tab/>
        <w:t>Maksymalna łączna masa wszystkich rodzajów odpadów, które mogą być magazynowane w okresie roku wynosi obecnie do 1 600 Mg/rok.</w:t>
      </w:r>
    </w:p>
    <w:p>
      <w:pPr>
        <w:pStyle w:val="Normal"/>
        <w:jc w:val="both"/>
        <w:rPr>
          <w:rFonts w:ascii="Times New Roman" w:hAnsi="Times New Roman"/>
        </w:rPr>
      </w:pPr>
      <w:r>
        <w:rPr>
          <w:sz w:val="24"/>
          <w:szCs w:val="24"/>
        </w:rPr>
        <w:tab/>
        <w:t>W ramach przedmiotowego przedsięwzięcia przewiduje się zwiększenie ilości zbieranych opon z 100 Mg/rok do 300 Mg/rok.</w:t>
      </w:r>
    </w:p>
    <w:p>
      <w:pPr>
        <w:pStyle w:val="Normal"/>
        <w:jc w:val="both"/>
        <w:rPr>
          <w:rFonts w:ascii="Times New Roman" w:hAnsi="Times New Roman"/>
        </w:rPr>
      </w:pPr>
      <w:r>
        <w:rPr>
          <w:sz w:val="24"/>
          <w:szCs w:val="24"/>
        </w:rPr>
        <w:tab/>
        <w:t>Odpady magazynowane będą w wyznaczonych miejscach magazynowania odpadów, określonych w pozwoleniu zintegrowanym. Sposób magazynowania dostosowany będzie do rodzaju odpadu.</w:t>
      </w:r>
    </w:p>
    <w:p>
      <w:pPr>
        <w:pStyle w:val="Normal"/>
        <w:jc w:val="both"/>
        <w:rPr>
          <w:rFonts w:ascii="Times New Roman" w:hAnsi="Times New Roman"/>
        </w:rPr>
      </w:pPr>
      <w:r>
        <w:rPr>
          <w:sz w:val="24"/>
          <w:szCs w:val="24"/>
        </w:rPr>
        <w:tab/>
        <w:t>Pojazdy dostarczające odpady wjeżdżać będą na teren Zakładu przez bramę wjazdową, gdzie zostaną zważone na elektronicznej wadze oraz zarejestrowane w systemie BDO. Po dokonaniu czynności kontrolnych pojazdy dowożące odpady kierowane będą (odpowiednio od rodzaju odpadów dostarczanych odpadów) do wskazanego miejsca rozładunku odpadów tj. miejsca magazynowania odpadów. Odpady te po zgromadzeniu odpowiedniej partii transportowej przekazywane będą do zakładów zbierania lub przetwarzania odpadów, gdzie</w:t>
        <w:br/>
        <w:t>w zależności od rodzaju odpadu będą poddane właściwej dalszej obróbce. Wyjątkiem są odpady o kodach 15 01 09, 17 01 01, 17 01 02, 17 01 03, 17 01 07, 17 02 01, 17 03 80, 17 03 80, 20 01 10, 20 01 11, które mogą być przekazane również osobom fizycznym lub jednostkom organizacyjnym niebędącymi przedsiębiorcami w ilościach i w celu określonym rozporządzeniem Ministra Środowiska z dnia 10 listopada 2015 r. w sprawie listy rodzajów odpadów, które osoby fizyczne lub jednostki organizacyjne niebędące przedsiębiorcami mogą poddawać odzyskowi na potrzeby własne, oraz dopuszczalnych metod ich odzysku.</w:t>
      </w:r>
    </w:p>
    <w:p>
      <w:pPr>
        <w:pStyle w:val="Normal"/>
        <w:jc w:val="both"/>
        <w:rPr>
          <w:rFonts w:ascii="Times New Roman" w:hAnsi="Times New Roman"/>
        </w:rPr>
      </w:pPr>
      <w:r>
        <w:rPr>
          <w:sz w:val="24"/>
          <w:szCs w:val="24"/>
        </w:rPr>
        <w:tab/>
        <w:t>Ponadto w ramach zbierania odpadów prowadzone będzie sortowanie odpadów, ale tylko i wyłącznie takie, które nie będzie prowadziło do zasadniczej zmiany charakteru i składu odpadów oraz zmiany klasyfikacji odpadów.</w:t>
      </w:r>
    </w:p>
    <w:p>
      <w:pPr>
        <w:pStyle w:val="Normal"/>
        <w:jc w:val="both"/>
        <w:rPr>
          <w:rFonts w:ascii="Times New Roman" w:hAnsi="Times New Roman"/>
        </w:rPr>
      </w:pPr>
      <w:r>
        <w:rPr>
          <w:sz w:val="24"/>
          <w:szCs w:val="24"/>
        </w:rPr>
        <w:tab/>
        <w:t>Powstałe w czasie realizacji, eksploatacji i potencjalnej likwidacji przedmiotowej inwestycji uciążliwości nie wykroczą poza teren nieruchomości objętej wnioskiem.</w:t>
      </w:r>
    </w:p>
    <w:p>
      <w:pPr>
        <w:pStyle w:val="Normal"/>
        <w:jc w:val="both"/>
        <w:rPr>
          <w:rFonts w:ascii="Times New Roman" w:hAnsi="Times New Roman"/>
        </w:rPr>
      </w:pPr>
      <w:r>
        <w:rPr>
          <w:sz w:val="24"/>
          <w:szCs w:val="24"/>
        </w:rPr>
        <w:tab/>
        <w:t>Realizacja przedsięwzięcia nie wiąże się z prowadzeniem prac budowlanych oraz zajęciem nowych powierzchni terenu. Realizacja zamierzenia inwestycyjnego sprowadzać będzie się do montażu drugiej prasy belującej i niezbędnych przenośników i infrastruktury</w:t>
        <w:br/>
        <w:t>w ramach istniejącej hali sortowni odpadów.</w:t>
      </w:r>
    </w:p>
    <w:p>
      <w:pPr>
        <w:pStyle w:val="Normal"/>
        <w:jc w:val="both"/>
        <w:rPr>
          <w:rFonts w:ascii="Times New Roman" w:hAnsi="Times New Roman"/>
        </w:rPr>
      </w:pPr>
      <w:r>
        <w:rPr>
          <w:sz w:val="24"/>
          <w:szCs w:val="24"/>
        </w:rPr>
        <w:tab/>
        <w:t>Eksploatacja instalacji do przetwarzania odpadów budowlanych przy zwiększonej zdolności przerobowej oraz eksploatacja dodatkowej prasy w ramach instalacji sortowni odpadów nie wiąże się z dodatkowym zapotrzebowaniem na wodę.</w:t>
      </w:r>
    </w:p>
    <w:p>
      <w:pPr>
        <w:pStyle w:val="Normal"/>
        <w:jc w:val="both"/>
        <w:rPr>
          <w:rFonts w:ascii="Times New Roman" w:hAnsi="Times New Roman"/>
        </w:rPr>
      </w:pPr>
      <w:r>
        <w:rPr>
          <w:color w:val="000000"/>
          <w:sz w:val="24"/>
          <w:szCs w:val="24"/>
        </w:rPr>
        <w:tab/>
        <w:t>Wody odpadowe z utwardzonych dróg i placów oraz z powierzchni dachów obiektów kubaturowych, zbierane w sposób zorganizowany za pomocą indywidualnego systemu kanalizacji deszczowej, oczyszczone w osadniku wstępnym o objętości 3 m</w:t>
      </w:r>
      <w:r>
        <w:rPr>
          <w:color w:val="000000"/>
          <w:sz w:val="24"/>
          <w:szCs w:val="24"/>
          <w:vertAlign w:val="superscript"/>
        </w:rPr>
        <w:t>3</w:t>
      </w:r>
      <w:r>
        <w:rPr>
          <w:color w:val="000000"/>
          <w:sz w:val="24"/>
          <w:szCs w:val="24"/>
        </w:rPr>
        <w:t>, a następnie</w:t>
        <w:br/>
        <w:t>w separatorze kolescencyjnym o przepustowości 30 dm</w:t>
      </w:r>
      <w:r>
        <w:rPr>
          <w:color w:val="000000"/>
          <w:sz w:val="24"/>
          <w:szCs w:val="24"/>
          <w:vertAlign w:val="superscript"/>
        </w:rPr>
        <w:t>3</w:t>
      </w:r>
      <w:r>
        <w:rPr>
          <w:color w:val="000000"/>
          <w:sz w:val="24"/>
          <w:szCs w:val="24"/>
        </w:rPr>
        <w:t>/s, odprowadzane są do szczelnego zbiornika p.poż. o pojemności czynnej 200 m</w:t>
      </w:r>
      <w:r>
        <w:rPr>
          <w:color w:val="000000"/>
          <w:sz w:val="24"/>
          <w:szCs w:val="24"/>
          <w:vertAlign w:val="superscript"/>
        </w:rPr>
        <w:t>3</w:t>
      </w:r>
      <w:r>
        <w:rPr>
          <w:color w:val="000000"/>
          <w:sz w:val="24"/>
          <w:szCs w:val="24"/>
        </w:rPr>
        <w:t>. Zebrane wody opadowe zużywane są do celów przeciwpożarowych i pielęgnacji terenów zielonych.</w:t>
      </w:r>
    </w:p>
    <w:p>
      <w:pPr>
        <w:pStyle w:val="Normal"/>
        <w:spacing w:before="6" w:after="6"/>
        <w:jc w:val="both"/>
        <w:rPr>
          <w:rFonts w:ascii="Times New Roman" w:hAnsi="Times New Roman"/>
          <w:b/>
          <w:bCs/>
          <w:color w:val="000000"/>
          <w:sz w:val="24"/>
          <w:szCs w:val="24"/>
        </w:rPr>
      </w:pPr>
      <w:r>
        <w:rPr>
          <w:b/>
          <w:bCs/>
          <w:color w:val="000000"/>
          <w:sz w:val="24"/>
          <w:szCs w:val="24"/>
        </w:rPr>
      </w:r>
    </w:p>
    <w:p>
      <w:pPr>
        <w:pStyle w:val="Normal"/>
        <w:spacing w:before="6" w:after="6"/>
        <w:jc w:val="both"/>
        <w:rPr>
          <w:rFonts w:ascii="Times New Roman" w:hAnsi="Times New Roman"/>
        </w:rPr>
      </w:pPr>
      <w:r>
        <w:rPr>
          <w:b/>
          <w:bCs/>
          <w:color w:val="000000"/>
          <w:sz w:val="24"/>
          <w:szCs w:val="24"/>
        </w:rPr>
        <w:t>Zbiorniki ścieków bytowych:</w:t>
      </w:r>
    </w:p>
    <w:p>
      <w:pPr>
        <w:pStyle w:val="ListParagraph"/>
        <w:numPr>
          <w:ilvl w:val="0"/>
          <w:numId w:val="5"/>
        </w:numPr>
        <w:spacing w:before="120" w:after="120"/>
        <w:ind w:hanging="360" w:start="426"/>
        <w:contextualSpacing/>
        <w:jc w:val="both"/>
        <w:rPr>
          <w:rFonts w:ascii="Times New Roman" w:hAnsi="Times New Roman"/>
        </w:rPr>
      </w:pPr>
      <w:r>
        <w:rPr>
          <w:color w:val="000000"/>
          <w:sz w:val="24"/>
          <w:szCs w:val="24"/>
        </w:rPr>
        <w:t>Zbiornik na ścieki bytowe o poj. 10m</w:t>
      </w:r>
      <w:r>
        <w:rPr>
          <w:color w:val="000000"/>
          <w:sz w:val="24"/>
          <w:szCs w:val="24"/>
          <w:vertAlign w:val="superscript"/>
        </w:rPr>
        <w:t>3</w:t>
      </w:r>
      <w:r>
        <w:rPr>
          <w:color w:val="000000"/>
          <w:sz w:val="24"/>
          <w:szCs w:val="24"/>
        </w:rPr>
        <w:t xml:space="preserve"> przy "nowym" budynku administracyjno-socjalnym (dz. nr 234);</w:t>
      </w:r>
    </w:p>
    <w:p>
      <w:pPr>
        <w:pStyle w:val="ListParagraph"/>
        <w:numPr>
          <w:ilvl w:val="0"/>
          <w:numId w:val="5"/>
        </w:numPr>
        <w:ind w:hanging="360" w:start="426"/>
        <w:jc w:val="both"/>
        <w:rPr>
          <w:rFonts w:ascii="Times New Roman" w:hAnsi="Times New Roman"/>
        </w:rPr>
      </w:pPr>
      <w:r>
        <w:rPr>
          <w:color w:val="000000"/>
          <w:sz w:val="24"/>
          <w:szCs w:val="24"/>
        </w:rPr>
        <w:t>Zbiornik na ścieki bytowe o poj. 10m</w:t>
      </w:r>
      <w:r>
        <w:rPr>
          <w:color w:val="000000"/>
          <w:sz w:val="24"/>
          <w:szCs w:val="24"/>
          <w:vertAlign w:val="superscript"/>
        </w:rPr>
        <w:t>3</w:t>
      </w:r>
      <w:r>
        <w:rPr>
          <w:color w:val="000000"/>
          <w:sz w:val="24"/>
          <w:szCs w:val="24"/>
        </w:rPr>
        <w:t xml:space="preserve"> przy "starym" budynku biurowo-socjalnym </w:t>
        <w:br/>
        <w:t xml:space="preserve">(Ob. nr 1); </w:t>
      </w:r>
    </w:p>
    <w:p>
      <w:pPr>
        <w:pStyle w:val="Normal"/>
        <w:spacing w:before="240" w:after="0"/>
        <w:rPr>
          <w:rFonts w:ascii="Times New Roman" w:hAnsi="Times New Roman"/>
        </w:rPr>
      </w:pPr>
      <w:r>
        <w:rPr>
          <w:b/>
          <w:bCs/>
          <w:color w:val="000000"/>
          <w:sz w:val="24"/>
          <w:szCs w:val="24"/>
        </w:rPr>
        <w:t>Pozostałe zbiorniki w ramach Zakładu:</w:t>
      </w:r>
    </w:p>
    <w:p>
      <w:pPr>
        <w:pStyle w:val="ListParagraph"/>
        <w:numPr>
          <w:ilvl w:val="0"/>
          <w:numId w:val="2"/>
        </w:numPr>
        <w:ind w:hanging="360" w:start="426"/>
        <w:jc w:val="both"/>
        <w:rPr>
          <w:rFonts w:ascii="Times New Roman" w:hAnsi="Times New Roman"/>
        </w:rPr>
      </w:pPr>
      <w:r>
        <w:rPr>
          <w:color w:val="000000"/>
          <w:sz w:val="24"/>
          <w:szCs w:val="24"/>
        </w:rPr>
        <w:t>Zbiornik na odcieki o poj. 10m</w:t>
      </w:r>
      <w:r>
        <w:rPr>
          <w:color w:val="000000"/>
          <w:sz w:val="24"/>
          <w:szCs w:val="24"/>
          <w:vertAlign w:val="superscript"/>
        </w:rPr>
        <w:t>3</w:t>
      </w:r>
      <w:r>
        <w:rPr>
          <w:color w:val="000000"/>
          <w:sz w:val="24"/>
          <w:szCs w:val="24"/>
        </w:rPr>
        <w:t xml:space="preserve"> przy hali sortowni;</w:t>
      </w:r>
    </w:p>
    <w:p>
      <w:pPr>
        <w:pStyle w:val="ListParagraph"/>
        <w:numPr>
          <w:ilvl w:val="0"/>
          <w:numId w:val="2"/>
        </w:numPr>
        <w:spacing w:before="120" w:after="120"/>
        <w:ind w:hanging="360" w:start="426"/>
        <w:contextualSpacing/>
        <w:jc w:val="both"/>
        <w:rPr>
          <w:rFonts w:ascii="Times New Roman" w:hAnsi="Times New Roman"/>
        </w:rPr>
      </w:pPr>
      <w:r>
        <w:rPr>
          <w:color w:val="000000"/>
          <w:sz w:val="24"/>
          <w:szCs w:val="24"/>
        </w:rPr>
        <w:t>Zbiornik na odcieki o poj. 120m</w:t>
      </w:r>
      <w:r>
        <w:rPr>
          <w:color w:val="000000"/>
          <w:sz w:val="24"/>
          <w:szCs w:val="24"/>
          <w:vertAlign w:val="superscript"/>
        </w:rPr>
        <w:t>3</w:t>
      </w:r>
      <w:r>
        <w:rPr>
          <w:color w:val="000000"/>
          <w:sz w:val="24"/>
          <w:szCs w:val="24"/>
        </w:rPr>
        <w:t xml:space="preserve"> przy kompostowni (Ob. nr 26);</w:t>
      </w:r>
    </w:p>
    <w:p>
      <w:pPr>
        <w:pStyle w:val="ListParagraph"/>
        <w:numPr>
          <w:ilvl w:val="0"/>
          <w:numId w:val="2"/>
        </w:numPr>
        <w:spacing w:before="120" w:after="120"/>
        <w:ind w:hanging="360" w:start="426"/>
        <w:contextualSpacing/>
        <w:jc w:val="both"/>
        <w:rPr>
          <w:rFonts w:ascii="Times New Roman" w:hAnsi="Times New Roman"/>
        </w:rPr>
      </w:pPr>
      <w:r>
        <w:rPr>
          <w:color w:val="000000"/>
          <w:sz w:val="24"/>
          <w:szCs w:val="24"/>
        </w:rPr>
        <w:t>Zbiornik ppoż. 200m</w:t>
      </w:r>
      <w:r>
        <w:rPr>
          <w:color w:val="000000"/>
          <w:sz w:val="24"/>
          <w:szCs w:val="24"/>
          <w:vertAlign w:val="superscript"/>
        </w:rPr>
        <w:t>3</w:t>
      </w:r>
      <w:r>
        <w:rPr>
          <w:color w:val="000000"/>
          <w:sz w:val="24"/>
          <w:szCs w:val="24"/>
        </w:rPr>
        <w:t xml:space="preserve"> przy hali sortowni (Ob. nr 25);</w:t>
      </w:r>
    </w:p>
    <w:p>
      <w:pPr>
        <w:pStyle w:val="ListParagraph"/>
        <w:numPr>
          <w:ilvl w:val="0"/>
          <w:numId w:val="2"/>
        </w:numPr>
        <w:spacing w:before="120" w:after="120"/>
        <w:ind w:hanging="360" w:start="426"/>
        <w:contextualSpacing/>
        <w:jc w:val="both"/>
        <w:rPr>
          <w:rFonts w:ascii="Times New Roman" w:hAnsi="Times New Roman"/>
        </w:rPr>
      </w:pPr>
      <w:r>
        <w:rPr>
          <w:color w:val="000000"/>
          <w:sz w:val="24"/>
          <w:szCs w:val="24"/>
        </w:rPr>
        <w:t>Zbiornik na odcieki o poj. 584m</w:t>
      </w:r>
      <w:r>
        <w:rPr>
          <w:color w:val="000000"/>
          <w:sz w:val="24"/>
          <w:szCs w:val="24"/>
          <w:vertAlign w:val="superscript"/>
        </w:rPr>
        <w:t>3</w:t>
      </w:r>
      <w:r>
        <w:rPr>
          <w:color w:val="000000"/>
          <w:sz w:val="24"/>
          <w:szCs w:val="24"/>
        </w:rPr>
        <w:t xml:space="preserve"> przy kwaterze nr 2 (Ob. nr 27);</w:t>
      </w:r>
    </w:p>
    <w:p>
      <w:pPr>
        <w:pStyle w:val="ListParagraph"/>
        <w:numPr>
          <w:ilvl w:val="0"/>
          <w:numId w:val="2"/>
        </w:numPr>
        <w:spacing w:before="120" w:after="120"/>
        <w:ind w:hanging="360" w:start="426"/>
        <w:contextualSpacing/>
        <w:jc w:val="both"/>
        <w:rPr>
          <w:rFonts w:ascii="Times New Roman" w:hAnsi="Times New Roman"/>
        </w:rPr>
      </w:pPr>
      <w:r>
        <w:rPr>
          <w:color w:val="000000"/>
          <w:sz w:val="24"/>
          <w:szCs w:val="24"/>
        </w:rPr>
        <w:t>Zbiornik na odcieki o poj. 470m</w:t>
      </w:r>
      <w:r>
        <w:rPr>
          <w:color w:val="000000"/>
          <w:sz w:val="24"/>
          <w:szCs w:val="24"/>
          <w:vertAlign w:val="superscript"/>
        </w:rPr>
        <w:t>3</w:t>
      </w:r>
      <w:r>
        <w:rPr>
          <w:color w:val="000000"/>
          <w:sz w:val="24"/>
          <w:szCs w:val="24"/>
        </w:rPr>
        <w:t xml:space="preserve"> przy kwaterze nr 3 (Ob. nr 28);</w:t>
      </w:r>
    </w:p>
    <w:p>
      <w:pPr>
        <w:pStyle w:val="ListParagraph"/>
        <w:numPr>
          <w:ilvl w:val="0"/>
          <w:numId w:val="2"/>
        </w:numPr>
        <w:spacing w:before="120" w:after="120"/>
        <w:ind w:hanging="360" w:start="426"/>
        <w:contextualSpacing/>
        <w:jc w:val="both"/>
        <w:rPr>
          <w:rFonts w:ascii="Times New Roman" w:hAnsi="Times New Roman"/>
        </w:rPr>
      </w:pPr>
      <w:r>
        <w:rPr>
          <w:color w:val="000000"/>
          <w:sz w:val="24"/>
          <w:szCs w:val="24"/>
        </w:rPr>
        <w:t>Zbiornik na odcieki o poj. 750m</w:t>
      </w:r>
      <w:r>
        <w:rPr>
          <w:color w:val="000000"/>
          <w:sz w:val="24"/>
          <w:szCs w:val="24"/>
          <w:vertAlign w:val="superscript"/>
        </w:rPr>
        <w:t>3</w:t>
      </w:r>
      <w:r>
        <w:rPr>
          <w:color w:val="000000"/>
          <w:sz w:val="24"/>
          <w:szCs w:val="24"/>
        </w:rPr>
        <w:t xml:space="preserve"> przy kwaterze nr 3 (Ob. nr 29);</w:t>
      </w:r>
    </w:p>
    <w:p>
      <w:pPr>
        <w:pStyle w:val="ListParagraph"/>
        <w:numPr>
          <w:ilvl w:val="0"/>
          <w:numId w:val="2"/>
        </w:numPr>
        <w:spacing w:before="120" w:after="120"/>
        <w:ind w:hanging="360" w:start="426"/>
        <w:contextualSpacing/>
        <w:jc w:val="both"/>
        <w:rPr>
          <w:rFonts w:ascii="Times New Roman" w:hAnsi="Times New Roman"/>
        </w:rPr>
      </w:pPr>
      <w:r>
        <w:rPr>
          <w:color w:val="000000"/>
          <w:sz w:val="24"/>
          <w:szCs w:val="24"/>
        </w:rPr>
        <w:t>Zbiornik ppoż. podziemny o poj. 600m</w:t>
      </w:r>
      <w:r>
        <w:rPr>
          <w:color w:val="000000"/>
          <w:sz w:val="24"/>
          <w:szCs w:val="24"/>
          <w:vertAlign w:val="superscript"/>
        </w:rPr>
        <w:t xml:space="preserve">3 </w:t>
      </w:r>
      <w:r>
        <w:rPr>
          <w:color w:val="000000"/>
          <w:sz w:val="24"/>
          <w:szCs w:val="24"/>
        </w:rPr>
        <w:t>(Ob. nr 22);</w:t>
      </w:r>
    </w:p>
    <w:p>
      <w:pPr>
        <w:pStyle w:val="ListParagraph"/>
        <w:numPr>
          <w:ilvl w:val="0"/>
          <w:numId w:val="2"/>
        </w:numPr>
        <w:spacing w:before="120" w:after="120"/>
        <w:ind w:hanging="360" w:start="426"/>
        <w:contextualSpacing/>
        <w:jc w:val="both"/>
        <w:rPr>
          <w:rFonts w:ascii="Times New Roman" w:hAnsi="Times New Roman"/>
        </w:rPr>
      </w:pPr>
      <w:r>
        <w:rPr>
          <w:color w:val="000000"/>
          <w:sz w:val="24"/>
          <w:szCs w:val="24"/>
        </w:rPr>
        <w:t>Zbiornik ppoż. 150m</w:t>
      </w:r>
      <w:r>
        <w:rPr>
          <w:color w:val="000000"/>
          <w:sz w:val="24"/>
          <w:szCs w:val="24"/>
          <w:vertAlign w:val="superscript"/>
        </w:rPr>
        <w:t>3</w:t>
      </w:r>
      <w:r>
        <w:rPr>
          <w:color w:val="000000"/>
          <w:sz w:val="24"/>
          <w:szCs w:val="24"/>
        </w:rPr>
        <w:t xml:space="preserve"> przy hali sortowni (Ob. nr 24);</w:t>
      </w:r>
    </w:p>
    <w:p>
      <w:pPr>
        <w:pStyle w:val="Normal"/>
        <w:jc w:val="both"/>
        <w:rPr>
          <w:rFonts w:ascii="Times New Roman" w:hAnsi="Times New Roman"/>
        </w:rPr>
      </w:pPr>
      <w:r>
        <w:rPr>
          <w:color w:val="FF0000"/>
          <w:sz w:val="24"/>
          <w:szCs w:val="24"/>
        </w:rPr>
        <w:tab/>
      </w:r>
      <w:r>
        <w:rPr>
          <w:color w:val="000000"/>
          <w:sz w:val="24"/>
          <w:szCs w:val="24"/>
        </w:rPr>
        <w:t>Ścieki ze zbiornika w miarę potrzeb transportowane są za pomocą taboru asenizacyjnego na oczyszczalnię ścieków. Realizacja planowanego przedsięwzięcia tj. rozbudowa linii sortowniczej o dodatkowe urządzenie (prasę) w hali sortowni odpadów, nie wiąże się ze wzrostem ilości wytwarzanych ścieków przemysłowych.</w:t>
      </w:r>
    </w:p>
    <w:p>
      <w:pPr>
        <w:pStyle w:val="Normal"/>
        <w:spacing w:before="240" w:after="0"/>
        <w:jc w:val="both"/>
        <w:rPr>
          <w:rFonts w:ascii="Times New Roman" w:hAnsi="Times New Roman"/>
        </w:rPr>
      </w:pPr>
      <w:r>
        <w:rPr>
          <w:sz w:val="24"/>
          <w:szCs w:val="24"/>
        </w:rPr>
        <w:t>W zakresie ochrony środowiska gruntowo-wodnego przewiduje się:</w:t>
      </w:r>
    </w:p>
    <w:p>
      <w:pPr>
        <w:pStyle w:val="ListParagraph"/>
        <w:numPr>
          <w:ilvl w:val="0"/>
          <w:numId w:val="11"/>
        </w:numPr>
        <w:ind w:hanging="360" w:start="426"/>
        <w:jc w:val="both"/>
        <w:rPr>
          <w:rFonts w:ascii="Times New Roman" w:hAnsi="Times New Roman"/>
        </w:rPr>
      </w:pPr>
      <w:r>
        <w:rPr>
          <w:sz w:val="24"/>
          <w:szCs w:val="24"/>
        </w:rPr>
        <w:t>prowadzenie selektywnego magazynowanie odpadów w odpowiednio do tego celu przystosowanych miejscach,</w:t>
      </w:r>
    </w:p>
    <w:p>
      <w:pPr>
        <w:pStyle w:val="ListParagraph"/>
        <w:numPr>
          <w:ilvl w:val="0"/>
          <w:numId w:val="11"/>
        </w:numPr>
        <w:ind w:hanging="360" w:start="426"/>
        <w:jc w:val="both"/>
        <w:rPr>
          <w:rFonts w:ascii="Times New Roman" w:hAnsi="Times New Roman"/>
        </w:rPr>
      </w:pPr>
      <w:r>
        <w:rPr>
          <w:sz w:val="24"/>
          <w:szCs w:val="24"/>
        </w:rPr>
        <w:t>zapewnienie odbioru odpadów przez firmy posiadające odpowiednie zezwolenia,</w:t>
      </w:r>
    </w:p>
    <w:p>
      <w:pPr>
        <w:pStyle w:val="ListParagraph"/>
        <w:numPr>
          <w:ilvl w:val="0"/>
          <w:numId w:val="11"/>
        </w:numPr>
        <w:ind w:hanging="360" w:start="426"/>
        <w:jc w:val="both"/>
        <w:rPr>
          <w:rFonts w:ascii="Times New Roman" w:hAnsi="Times New Roman"/>
        </w:rPr>
      </w:pPr>
      <w:r>
        <w:rPr>
          <w:sz w:val="24"/>
          <w:szCs w:val="24"/>
        </w:rPr>
        <w:t>zabezpieczenie miejsc magazynowania odpadów przed dostępem osób nieupoważnionych,</w:t>
      </w:r>
    </w:p>
    <w:p>
      <w:pPr>
        <w:pStyle w:val="ListParagraph"/>
        <w:numPr>
          <w:ilvl w:val="0"/>
          <w:numId w:val="11"/>
        </w:numPr>
        <w:ind w:hanging="360" w:start="426"/>
        <w:jc w:val="both"/>
        <w:rPr>
          <w:rFonts w:ascii="Times New Roman" w:hAnsi="Times New Roman"/>
        </w:rPr>
      </w:pPr>
      <w:r>
        <w:rPr>
          <w:sz w:val="24"/>
          <w:szCs w:val="24"/>
        </w:rPr>
        <w:t xml:space="preserve">stosowanie sprawnych technicznie pojazdów drogowych i urządzeń pracujących </w:t>
        <w:br/>
        <w:t>w ramach obiektów objętych przedsięwzięciem,</w:t>
      </w:r>
    </w:p>
    <w:p>
      <w:pPr>
        <w:pStyle w:val="ListParagraph"/>
        <w:numPr>
          <w:ilvl w:val="0"/>
          <w:numId w:val="11"/>
        </w:numPr>
        <w:ind w:hanging="360" w:start="426"/>
        <w:jc w:val="both"/>
        <w:rPr>
          <w:rFonts w:ascii="Times New Roman" w:hAnsi="Times New Roman"/>
        </w:rPr>
      </w:pPr>
      <w:r>
        <w:rPr>
          <w:sz w:val="24"/>
          <w:szCs w:val="24"/>
        </w:rPr>
        <w:t>wyposażenie zakładu w sorbenty do pochłaniania substancji niebezpiecznych, które mogą powstać na etapie awarii sprzętu obsługującego przedsięwzięcie.</w:t>
      </w:r>
    </w:p>
    <w:p>
      <w:pPr>
        <w:pStyle w:val="Normal"/>
        <w:spacing w:before="240" w:after="0"/>
        <w:jc w:val="both"/>
        <w:rPr>
          <w:rFonts w:ascii="Times New Roman" w:hAnsi="Times New Roman"/>
        </w:rPr>
      </w:pPr>
      <w:r>
        <w:rPr>
          <w:sz w:val="24"/>
          <w:szCs w:val="24"/>
        </w:rPr>
        <w:tab/>
        <w:t>W raporcie oddziaływania przedsięwzięcia na środowisko przedstawiono obliczenia</w:t>
        <w:br/>
        <w:t xml:space="preserve">w zakresie analizy oddziaływania hałasu związanego z funkcjonowaniem planowanej inwestycji uwzględniające oddziaływania źródeł punktowych przy pracy wszystkich urządzeń oraz źródeł punktowych wszechkierunkowych oraz oddziaływania środków transportu poruszających się po terenie zakładu i planowanych parkingów. Dla potrzeb analizy wykorzystano metodę PN-ISO 9613-2: 2002 i program </w:t>
      </w:r>
      <w:r>
        <w:rPr>
          <w:i/>
          <w:sz w:val="24"/>
          <w:szCs w:val="24"/>
        </w:rPr>
        <w:t xml:space="preserve">„LEQ Professional” </w:t>
      </w:r>
      <w:r>
        <w:rPr>
          <w:sz w:val="24"/>
          <w:szCs w:val="24"/>
        </w:rPr>
        <w:t>wersja 6.0 - 2019. Jak wynika z przeprowadzonych obliczeń z uwzględnieniem oddziaływania skumulowanego w zakresie emisji hałasu nie przewiduje się przekroczenia dopuszczalnych poziomów hałasu na granicy terenów chronionych akustycznie.</w:t>
      </w:r>
    </w:p>
    <w:p>
      <w:pPr>
        <w:pStyle w:val="Normal"/>
        <w:jc w:val="both"/>
        <w:rPr>
          <w:rFonts w:ascii="Times New Roman" w:hAnsi="Times New Roman"/>
        </w:rPr>
      </w:pPr>
      <w:r>
        <w:rPr>
          <w:sz w:val="24"/>
          <w:szCs w:val="24"/>
        </w:rPr>
        <w:tab/>
        <w:t>W związku z funkcjonowaniem zmienionego przedsięwzięcia występować będzie wyłącznie dodatkowa emisja niezorganizowana związana z transportem odpadów do instalacji przetwarzania odpadów budowlanych oraz pracą kruszarki odpadów i przesiewacza odpadów oraz dwóch ładowarek odpadów w ramach instalacji przetwarzania odpadów budowlanych.</w:t>
      </w:r>
    </w:p>
    <w:p>
      <w:pPr>
        <w:pStyle w:val="Normal"/>
        <w:jc w:val="both"/>
        <w:rPr>
          <w:rFonts w:ascii="Times New Roman" w:hAnsi="Times New Roman"/>
        </w:rPr>
      </w:pPr>
      <w:r>
        <w:rPr>
          <w:sz w:val="24"/>
          <w:szCs w:val="24"/>
        </w:rPr>
        <w:tab/>
        <w:t>Na potrzeby niniejszego raportu wykonano analizę emisji zanieczyszczeń do powietrza atmosferycznego, w której uwzględniono oddziaływanie planowanej inwestycji oraz oddziaływanie skumulowane związane z emisją z pozostałych instalacji zlokalizowanych na terenie zakładu. Z przeprowadzonych w raporcie obliczeń wynika, że inwestycja nie powoduje przekroczenia dopuszczalnych wartości odniesienia w powietrzu określonych w rozporządzeniu Ministra Środowiska z dnia 26 stycznia 2010 r. w sprawie wartości odniesienia dla niektórych substancji w powietrzu.</w:t>
      </w:r>
    </w:p>
    <w:p>
      <w:pPr>
        <w:pStyle w:val="Normal"/>
        <w:spacing w:lineRule="auto" w:line="276"/>
        <w:jc w:val="both"/>
        <w:rPr>
          <w:rFonts w:ascii="Times New Roman" w:hAnsi="Times New Roman"/>
        </w:rPr>
      </w:pPr>
      <w:r>
        <w:rPr>
          <w:rFonts w:cs="Verdana"/>
          <w:color w:val="FF0000"/>
          <w:spacing w:val="-2"/>
          <w:sz w:val="24"/>
          <w:szCs w:val="24"/>
          <w:lang w:eastAsia="pl-PL"/>
        </w:rPr>
        <w:tab/>
      </w:r>
      <w:r>
        <w:rPr>
          <w:rFonts w:cs="Verdana"/>
          <w:color w:val="000000"/>
          <w:spacing w:val="-2"/>
          <w:sz w:val="24"/>
          <w:szCs w:val="24"/>
          <w:lang w:eastAsia="pl-PL"/>
        </w:rPr>
        <w:t>Realizacja planowanego przedsięwzięcia nie wiąże się wycinką drzew i krzewów.</w:t>
      </w:r>
    </w:p>
    <w:p>
      <w:pPr>
        <w:pStyle w:val="Normal"/>
        <w:spacing w:lineRule="auto" w:line="276"/>
        <w:jc w:val="both"/>
        <w:rPr>
          <w:rFonts w:ascii="Times New Roman" w:hAnsi="Times New Roman"/>
        </w:rPr>
      </w:pPr>
      <w:r>
        <w:rPr>
          <w:sz w:val="24"/>
          <w:szCs w:val="24"/>
        </w:rPr>
        <w:tab/>
        <w:t>Teren, gdzie planowane jest zamierzenie inwestycyjne w części (działki nr 243, 244, 245, 246) usytuowany jest w obszarze obowiązywania miejscowego planu zagospodarowania przestrzennego. Obowiązuje Uchwała nr V/30/03 Rady Gminy Miastkowo z dnia 30 kwietnia 2003 r. w sprawie zatwierdzenia miejscowego planu zagospodarowania przestrzennego gminy Miastkowo w części dotyczącej wysypiska odpadów we wsi Czartoria (Dz. Urz. Woj. Podlaskiego nr 51, poz. 1082). Zgodnie z planem miejscowym teren Zakładu znajduje się</w:t>
        <w:br/>
        <w:t>w obrębie wydzielenia planu oznaczonego symbolem 1NUw – „teren pod rozbudowę istniejącego, będącego w końcowej fazie eksploatacji wysypiska odpadów”. Jedynie teren działki nr 234 nie jest objęty miejscowym planem zagospodarowania przestrzennego.</w:t>
      </w:r>
    </w:p>
    <w:p>
      <w:pPr>
        <w:pStyle w:val="Normal"/>
        <w:spacing w:lineRule="auto" w:line="276"/>
        <w:jc w:val="both"/>
        <w:rPr>
          <w:rFonts w:ascii="Times New Roman" w:hAnsi="Times New Roman" w:cs="Verdana"/>
          <w:color w:val="000000"/>
          <w:sz w:val="24"/>
          <w:szCs w:val="24"/>
          <w:lang w:eastAsia="pl-PL"/>
        </w:rPr>
      </w:pPr>
      <w:r>
        <w:rPr>
          <w:rFonts w:cs="Verdana"/>
          <w:color w:val="000000"/>
          <w:sz w:val="24"/>
          <w:szCs w:val="24"/>
          <w:lang w:eastAsia="pl-PL"/>
        </w:rPr>
      </w:r>
    </w:p>
    <w:p>
      <w:pPr>
        <w:pStyle w:val="Normal"/>
        <w:shd w:fill="FFFFFF" w:val="clear"/>
        <w:tabs>
          <w:tab w:val="clear" w:pos="708"/>
          <w:tab w:val="left" w:pos="0" w:leader="none"/>
        </w:tabs>
        <w:spacing w:before="0" w:after="0"/>
        <w:jc w:val="end"/>
        <w:rPr/>
      </w:pPr>
      <w:r>
        <w:rPr>
          <w:rStyle w:val="Strong"/>
          <w:rFonts w:ascii="Times New Roman" w:hAnsi="Times New Roman"/>
          <w:b/>
          <w:bCs/>
          <w:i w:val="false"/>
          <w:caps w:val="false"/>
          <w:smallCaps w:val="false"/>
          <w:color w:val="212529"/>
          <w:spacing w:val="0"/>
        </w:rPr>
        <w:t>WÓJT</w:t>
      </w:r>
      <w:r>
        <w:rPr>
          <w:rFonts w:ascii="Times New Roman" w:hAnsi="Times New Roman"/>
          <w:b/>
          <w:bCs/>
        </w:rPr>
        <w:br/>
      </w:r>
      <w:r>
        <w:rPr>
          <w:rStyle w:val="Strong"/>
          <w:rFonts w:ascii="Times New Roman" w:hAnsi="Times New Roman"/>
          <w:b/>
          <w:bCs/>
          <w:i w:val="false"/>
          <w:caps w:val="false"/>
          <w:smallCaps w:val="false"/>
          <w:color w:val="212529"/>
          <w:spacing w:val="0"/>
        </w:rPr>
        <w:t>Rafał Bąkowski /-/</w:t>
      </w:r>
    </w:p>
    <w:sectPr>
      <w:footerReference w:type="even" r:id="rId2"/>
      <w:footerReference w:type="default" r:id="rId3"/>
      <w:footerReference w:type="first" r:id="rId4"/>
      <w:type w:val="nextPage"/>
      <w:pgSz w:w="11906" w:h="16838"/>
      <w:pgMar w:left="1418" w:right="1134" w:gutter="0" w:header="0" w:top="1418"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Times New Roman">
    <w:charset w:val="ee" w:characterSet="windows-1250"/>
    <w:family w:val="roman"/>
    <w:pitch w:val="variable"/>
  </w:font>
  <w:font w:name="Arial">
    <w:charset w:val="ee" w:characterSet="windows-1250"/>
    <w:family w:val="swiss"/>
    <w:pitch w:val="variable"/>
  </w:font>
  <w:font w:name="Wingdings">
    <w:charset w:val="02"/>
    <w:family w:val="roman"/>
    <w:pitch w:val="variable"/>
  </w:font>
  <w:font w:name="Courier New">
    <w:charset w:val="ee" w:characterSet="windows-1250"/>
    <w:family w:val="roman"/>
    <w:pitch w:val="variable"/>
  </w:font>
  <w:font w:name="Tahoma">
    <w:charset w:val="ee" w:characterSet="windows-1250"/>
    <w:family w:val="swiss"/>
    <w:pitch w:val="variable"/>
  </w:font>
  <w:font w:name="Calibri">
    <w:charset w:val="ee" w:characterSet="windows-1250"/>
    <w:family w:val="swiss"/>
    <w:pitch w:val="variable"/>
  </w:font>
  <w:font w:name="OpenSymbol">
    <w:altName w:val="Arial Unicode MS"/>
    <w:charset w:val="02"/>
    <w:family w:val="roman"/>
    <w:pitch w:val="variable"/>
  </w:font>
  <w:font w:name="Arial Narrow">
    <w:charset w:val="ee" w:characterSet="windows-1250"/>
    <w:family w:val="swiss"/>
    <w:pitch w:val="variable"/>
  </w:font>
  <w:font w:name="Liberation Sans">
    <w:altName w:val="Arial"/>
    <w:charset w:val="ee" w:characterSet="windows-1250"/>
    <w:family w:val="swiss"/>
    <w:pitch w:val="variable"/>
  </w:font>
  <w:font w:name="Liberation Sans">
    <w:altName w:val="Arial"/>
    <w:charset w:val="ee" w:characterSet="windows-125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 w:name="Apto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769616900"/>
      <w:docPartObj>
        <w:docPartGallery w:val="Page Numbers (Top of Page)"/>
        <w:docPartUnique w:val="true"/>
      </w:docPartObj>
    </w:sdtPr>
    <w:sdtContent>
      <w:p>
        <w:pPr>
          <w:pStyle w:val="Footer"/>
          <w:jc w:val="end"/>
          <w:rPr>
            <w:rFonts w:ascii="Times New Roman" w:hAnsi="Times New Roman"/>
          </w:rPr>
        </w:pPr>
        <w:r>
          <w:rPr/>
          <w:t xml:space="preserve">Strona </w:t>
        </w:r>
        <w:r>
          <w:rPr>
            <w:b/>
            <w:bCs/>
          </w:rPr>
          <w:fldChar w:fldCharType="begin"/>
        </w:r>
        <w:r>
          <w:rPr>
            <w:b/>
            <w:bCs/>
          </w:rPr>
          <w:instrText xml:space="preserve"> PAGE </w:instrText>
        </w:r>
        <w:r>
          <w:rPr>
            <w:b/>
            <w:bCs/>
          </w:rPr>
          <w:fldChar w:fldCharType="separate"/>
        </w:r>
        <w:r>
          <w:rPr>
            <w:b/>
            <w:bCs/>
          </w:rPr>
          <w:t>6</w:t>
        </w:r>
        <w:r>
          <w:rPr>
            <w:b/>
            <w:bCs/>
          </w:rPr>
          <w:fldChar w:fldCharType="end"/>
        </w:r>
        <w:r>
          <w:rPr/>
          <w:t xml:space="preserve"> z </w:t>
        </w:r>
        <w:r>
          <w:rPr>
            <w:b/>
            <w:bCs/>
          </w:rPr>
          <w:fldChar w:fldCharType="begin"/>
        </w:r>
        <w:r>
          <w:rPr>
            <w:b/>
            <w:bCs/>
          </w:rPr>
          <w:instrText xml:space="preserve"> NUMPAGES </w:instrText>
        </w:r>
        <w:r>
          <w:rPr>
            <w:b/>
            <w:bCs/>
          </w:rPr>
          <w:fldChar w:fldCharType="separate"/>
        </w:r>
        <w:r>
          <w:rPr>
            <w:b/>
            <w:bCs/>
          </w:rPr>
          <w:t>8</w:t>
        </w:r>
        <w:r>
          <w:rPr>
            <w:b/>
            <w:bCs/>
          </w:rPr>
          <w:fldChar w:fldCharType="end"/>
        </w:r>
      </w:p>
    </w:sdtContent>
  </w:sdt>
  <w:p>
    <w:pPr>
      <w:pStyle w:val="Footer"/>
      <w:jc w:val="center"/>
      <w:rPr>
        <w:rFonts w:ascii="Times New Roman" w:hAnsi="Times New Roman"/>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769616900"/>
      <w:docPartObj>
        <w:docPartGallery w:val="Page Numbers (Top of Page)"/>
        <w:docPartUnique w:val="true"/>
      </w:docPartObj>
    </w:sdtPr>
    <w:sdtContent>
      <w:p>
        <w:pPr>
          <w:pStyle w:val="Footer"/>
          <w:jc w:val="end"/>
          <w:rPr>
            <w:rFonts w:ascii="Times New Roman" w:hAnsi="Times New Roman"/>
          </w:rPr>
        </w:pPr>
        <w:r>
          <w:rPr/>
          <w:t xml:space="preserve">Strona </w:t>
        </w:r>
        <w:r>
          <w:rPr>
            <w:b/>
            <w:bCs/>
          </w:rPr>
          <w:fldChar w:fldCharType="begin"/>
        </w:r>
        <w:r>
          <w:rPr>
            <w:b/>
            <w:bCs/>
          </w:rPr>
          <w:instrText xml:space="preserve"> PAGE </w:instrText>
        </w:r>
        <w:r>
          <w:rPr>
            <w:b/>
            <w:bCs/>
          </w:rPr>
          <w:fldChar w:fldCharType="separate"/>
        </w:r>
        <w:r>
          <w:rPr>
            <w:b/>
            <w:bCs/>
          </w:rPr>
          <w:t>6</w:t>
        </w:r>
        <w:r>
          <w:rPr>
            <w:b/>
            <w:bCs/>
          </w:rPr>
          <w:fldChar w:fldCharType="end"/>
        </w:r>
        <w:r>
          <w:rPr/>
          <w:t xml:space="preserve"> z </w:t>
        </w:r>
        <w:r>
          <w:rPr>
            <w:b/>
            <w:bCs/>
          </w:rPr>
          <w:fldChar w:fldCharType="begin"/>
        </w:r>
        <w:r>
          <w:rPr>
            <w:b/>
            <w:bCs/>
          </w:rPr>
          <w:instrText xml:space="preserve"> NUMPAGES </w:instrText>
        </w:r>
        <w:r>
          <w:rPr>
            <w:b/>
            <w:bCs/>
          </w:rPr>
          <w:fldChar w:fldCharType="separate"/>
        </w:r>
        <w:r>
          <w:rPr>
            <w:b/>
            <w:bCs/>
          </w:rPr>
          <w:t>8</w:t>
        </w:r>
        <w:r>
          <w:rPr>
            <w:b/>
            <w:bCs/>
          </w:rPr>
          <w:fldChar w:fldCharType="end"/>
        </w:r>
      </w:p>
    </w:sdtContent>
  </w:sdt>
  <w:p>
    <w:pPr>
      <w:pStyle w:val="Footer"/>
      <w:jc w:val="center"/>
      <w:rPr>
        <w:rFonts w:ascii="Times New Roman" w:hAnsi="Times New Roman"/>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decimal"/>
      <w:lvlText w:val="%1)"/>
      <w:lvlJc w:val="start"/>
      <w:pPr>
        <w:tabs>
          <w:tab w:val="num" w:pos="0"/>
        </w:tabs>
        <w:ind w:start="720" w:hanging="360"/>
      </w:pPr>
      <w:rPr>
        <w:rFonts w:ascii="Times New Roman" w:hAnsi="Times New Roman"/>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lowerLetter"/>
      <w:lvlText w:val="%1)"/>
      <w:lvlJc w:val="start"/>
      <w:pPr>
        <w:tabs>
          <w:tab w:val="num" w:pos="0"/>
        </w:tabs>
        <w:ind w:start="720" w:hanging="360"/>
      </w:pPr>
      <w:rPr>
        <w:rFonts w:ascii="Times New Roman" w:hAnsi="Times New Roman"/>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4">
    <w:lvl w:ilvl="0">
      <w:start w:val="1"/>
      <w:numFmt w:val="decimal"/>
      <w:lvlText w:val="%1."/>
      <w:lvlJc w:val="start"/>
      <w:pPr>
        <w:tabs>
          <w:tab w:val="num" w:pos="0"/>
        </w:tabs>
        <w:ind w:start="360" w:hanging="360"/>
      </w:pPr>
      <w:rPr/>
    </w:lvl>
    <w:lvl w:ilvl="1">
      <w:start w:val="1"/>
      <w:numFmt w:val="decimal"/>
      <w:lvlText w:val="%1.%2."/>
      <w:lvlJc w:val="start"/>
      <w:pPr>
        <w:tabs>
          <w:tab w:val="num" w:pos="0"/>
        </w:tabs>
        <w:ind w:start="792" w:hanging="432"/>
      </w:pPr>
      <w:rPr/>
    </w:lvl>
    <w:lvl w:ilvl="2">
      <w:start w:val="1"/>
      <w:numFmt w:val="decimal"/>
      <w:lvlText w:val="%1.%2.%3."/>
      <w:lvlJc w:val="start"/>
      <w:pPr>
        <w:tabs>
          <w:tab w:val="num" w:pos="0"/>
        </w:tabs>
        <w:ind w:start="1224" w:hanging="504"/>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
    <w:lvl w:ilvl="0">
      <w:start w:val="1"/>
      <w:numFmt w:val="decimal"/>
      <w:lvlText w:val="%1)"/>
      <w:lvlJc w:val="start"/>
      <w:pPr>
        <w:tabs>
          <w:tab w:val="num" w:pos="0"/>
        </w:tabs>
        <w:ind w:start="720" w:hanging="360"/>
      </w:pPr>
      <w:rPr>
        <w:rFonts w:ascii="Times New Roman" w:hAnsi="Times New Roman"/>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1"/>
      <w:numFmt w:val="decimal"/>
      <w:lvlText w:val="%1."/>
      <w:lvlJc w:val="start"/>
      <w:pPr>
        <w:tabs>
          <w:tab w:val="num" w:pos="0"/>
        </w:tabs>
        <w:ind w:start="615" w:hanging="360"/>
      </w:pPr>
      <w:rPr>
        <w:sz w:val="16"/>
        <w:szCs w:val="16"/>
      </w:rPr>
    </w:lvl>
    <w:lvl w:ilvl="1">
      <w:start w:val="1"/>
      <w:numFmt w:val="lowerLetter"/>
      <w:lvlText w:val="%2."/>
      <w:lvlJc w:val="start"/>
      <w:pPr>
        <w:tabs>
          <w:tab w:val="num" w:pos="0"/>
        </w:tabs>
        <w:ind w:start="1156" w:hanging="360"/>
      </w:pPr>
      <w:rPr/>
    </w:lvl>
    <w:lvl w:ilvl="2">
      <w:start w:val="1"/>
      <w:numFmt w:val="lowerRoman"/>
      <w:lvlText w:val="%3."/>
      <w:lvlJc w:val="end"/>
      <w:pPr>
        <w:tabs>
          <w:tab w:val="num" w:pos="0"/>
        </w:tabs>
        <w:ind w:start="1876" w:hanging="180"/>
      </w:pPr>
      <w:rPr/>
    </w:lvl>
    <w:lvl w:ilvl="3">
      <w:start w:val="1"/>
      <w:numFmt w:val="decimal"/>
      <w:lvlText w:val="%4."/>
      <w:lvlJc w:val="start"/>
      <w:pPr>
        <w:tabs>
          <w:tab w:val="num" w:pos="0"/>
        </w:tabs>
        <w:ind w:start="2596" w:hanging="360"/>
      </w:pPr>
      <w:rPr/>
    </w:lvl>
    <w:lvl w:ilvl="4">
      <w:start w:val="1"/>
      <w:numFmt w:val="lowerLetter"/>
      <w:lvlText w:val="%5."/>
      <w:lvlJc w:val="start"/>
      <w:pPr>
        <w:tabs>
          <w:tab w:val="num" w:pos="0"/>
        </w:tabs>
        <w:ind w:start="3316" w:hanging="360"/>
      </w:pPr>
      <w:rPr/>
    </w:lvl>
    <w:lvl w:ilvl="5">
      <w:start w:val="1"/>
      <w:numFmt w:val="lowerRoman"/>
      <w:lvlText w:val="%6."/>
      <w:lvlJc w:val="end"/>
      <w:pPr>
        <w:tabs>
          <w:tab w:val="num" w:pos="0"/>
        </w:tabs>
        <w:ind w:start="4036" w:hanging="180"/>
      </w:pPr>
      <w:rPr/>
    </w:lvl>
    <w:lvl w:ilvl="6">
      <w:start w:val="1"/>
      <w:numFmt w:val="decimal"/>
      <w:lvlText w:val="%7."/>
      <w:lvlJc w:val="start"/>
      <w:pPr>
        <w:tabs>
          <w:tab w:val="num" w:pos="0"/>
        </w:tabs>
        <w:ind w:start="4756" w:hanging="360"/>
      </w:pPr>
      <w:rPr/>
    </w:lvl>
    <w:lvl w:ilvl="7">
      <w:start w:val="1"/>
      <w:numFmt w:val="lowerLetter"/>
      <w:lvlText w:val="%8."/>
      <w:lvlJc w:val="start"/>
      <w:pPr>
        <w:tabs>
          <w:tab w:val="num" w:pos="0"/>
        </w:tabs>
        <w:ind w:start="5476" w:hanging="360"/>
      </w:pPr>
      <w:rPr/>
    </w:lvl>
    <w:lvl w:ilvl="8">
      <w:start w:val="1"/>
      <w:numFmt w:val="lowerRoman"/>
      <w:lvlText w:val="%9."/>
      <w:lvlJc w:val="end"/>
      <w:pPr>
        <w:tabs>
          <w:tab w:val="num" w:pos="0"/>
        </w:tabs>
        <w:ind w:start="6196" w:hanging="180"/>
      </w:pPr>
      <w:rPr/>
    </w:lvl>
  </w:abstractNum>
  <w:abstractNum w:abstractNumId="7">
    <w:lvl w:ilvl="0">
      <w:start w:val="1"/>
      <w:numFmt w:val="decimal"/>
      <w:lvlText w:val="%1."/>
      <w:lvlJc w:val="start"/>
      <w:pPr>
        <w:tabs>
          <w:tab w:val="num" w:pos="0"/>
        </w:tabs>
        <w:ind w:start="720" w:hanging="360"/>
      </w:pPr>
      <w:rPr>
        <w:color w:val="auto"/>
        <w:sz w:val="16"/>
        <w:szCs w:val="16"/>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bullet"/>
      <w:lvlText w:val=""/>
      <w:lvlJc w:val="start"/>
      <w:pPr>
        <w:tabs>
          <w:tab w:val="num" w:pos="0"/>
        </w:tabs>
        <w:ind w:start="720" w:hanging="360"/>
      </w:pPr>
      <w:rPr>
        <w:rFonts w:ascii="Symbol" w:hAnsi="Symbol" w:cs="Symbol" w:hint="default"/>
        <w:sz w:val="24"/>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9">
    <w:lvl w:ilvl="0">
      <w:start w:val="1"/>
      <w:numFmt w:val="lowerLetter"/>
      <w:lvlText w:val="%1)"/>
      <w:lvlJc w:val="start"/>
      <w:pPr>
        <w:tabs>
          <w:tab w:val="num" w:pos="0"/>
        </w:tabs>
        <w:ind w:start="720" w:hanging="360"/>
      </w:pPr>
      <w:rPr>
        <w:rFonts w:ascii="Times New Roman" w:hAnsi="Times New Roman"/>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0">
    <w:lvl w:ilvl="0">
      <w:start w:val="1"/>
      <w:numFmt w:val="lowerLetter"/>
      <w:lvlText w:val="%1)"/>
      <w:lvlJc w:val="start"/>
      <w:pPr>
        <w:tabs>
          <w:tab w:val="num" w:pos="0"/>
        </w:tabs>
        <w:ind w:start="720" w:hanging="360"/>
      </w:pPr>
      <w:rPr>
        <w:rFonts w:ascii="Times New Roman" w:hAnsi="Times New Roman"/>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1">
    <w:lvl w:ilvl="0">
      <w:start w:val="1"/>
      <w:numFmt w:val="bullet"/>
      <w:lvlText w:val="-"/>
      <w:lvlJc w:val="start"/>
      <w:pPr>
        <w:tabs>
          <w:tab w:val="num" w:pos="0"/>
        </w:tabs>
        <w:ind w:start="720" w:hanging="360"/>
      </w:pPr>
      <w:rPr>
        <w:rFonts w:ascii="Aptos" w:hAnsi="Aptos" w:cs="Aptos"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60"/>
  <w:displayBackgroundShape/>
  <w:defaultTabStop w:val="708"/>
  <w:autoHyphenation w:val="true"/>
  <w:hyphenationZone w:val="425"/>
  <w:compat>
    <w:compatSetting w:name="compatibilityMode" w:uri="http://schemas.microsoft.com/office/word" w:val="14"/>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l-PL"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Times New Roman" w:hAnsi="Times New Roman" w:eastAsia="Times New Roman" w:cs="Times New Roman"/>
      <w:color w:val="auto"/>
      <w:kern w:val="0"/>
      <w:sz w:val="20"/>
      <w:szCs w:val="20"/>
      <w:lang w:val="pl-PL" w:eastAsia="zh-CN" w:bidi="ar-SA"/>
    </w:rPr>
  </w:style>
  <w:style w:type="paragraph" w:styleId="Heading1">
    <w:name w:val="heading 1"/>
    <w:basedOn w:val="Normal"/>
    <w:next w:val="Normal"/>
    <w:qFormat/>
    <w:pPr>
      <w:keepNext w:val="true"/>
      <w:numPr>
        <w:ilvl w:val="0"/>
        <w:numId w:val="1"/>
      </w:numPr>
      <w:jc w:val="both"/>
      <w:outlineLvl w:val="0"/>
    </w:pPr>
    <w:rPr>
      <w:rFonts w:ascii="Arial" w:hAnsi="Arial" w:cs="Arial"/>
      <w:sz w:val="22"/>
      <w:u w:val="single"/>
    </w:rPr>
  </w:style>
  <w:style w:type="character" w:styleId="DefaultParagraphFont" w:default="1">
    <w:name w:val="Default Paragraph Font"/>
    <w:uiPriority w:val="1"/>
    <w:semiHidden/>
    <w:unhideWhenUsed/>
    <w:qFormat/>
    <w:rPr/>
  </w:style>
  <w:style w:type="character" w:styleId="WW8Num2z0" w:customStyle="1">
    <w:name w:val="WW8Num2z0"/>
    <w:qFormat/>
    <w:rPr>
      <w:rFonts w:ascii="Times New Roman" w:hAnsi="Times New Roman" w:cs="Times New Roman"/>
      <w:sz w:val="24"/>
      <w:szCs w:val="24"/>
    </w:rPr>
  </w:style>
  <w:style w:type="character" w:styleId="WW8Num3z0" w:customStyle="1">
    <w:name w:val="WW8Num3z0"/>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3z1" w:customStyle="1">
    <w:name w:val="WW8Num3z1"/>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3z2" w:customStyle="1">
    <w:name w:val="WW8Num3z2"/>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4z0" w:customStyle="1">
    <w:name w:val="WW8Num4z0"/>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4z1" w:customStyle="1">
    <w:name w:val="WW8Num4z1"/>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5z0" w:customStyle="1">
    <w:name w:val="WW8Num5z0"/>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3"/>
      <w:szCs w:val="23"/>
      <w:u w:val="none"/>
      <w:vertAlign w:val="baseline"/>
    </w:rPr>
  </w:style>
  <w:style w:type="character" w:styleId="WW8Num5z1" w:customStyle="1">
    <w:name w:val="WW8Num5z1"/>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3"/>
      <w:szCs w:val="23"/>
      <w:u w:val="none"/>
      <w:vertAlign w:val="baseline"/>
    </w:rPr>
  </w:style>
  <w:style w:type="character" w:styleId="WW8Num6z0" w:customStyle="1">
    <w:name w:val="WW8Num6z0"/>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3"/>
      <w:szCs w:val="23"/>
      <w:u w:val="none"/>
      <w:vertAlign w:val="baseline"/>
    </w:rPr>
  </w:style>
  <w:style w:type="character" w:styleId="WW8Num6z1" w:customStyle="1">
    <w:name w:val="WW8Num6z1"/>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3"/>
      <w:szCs w:val="23"/>
      <w:u w:val="none"/>
      <w:vertAlign w:val="baseline"/>
    </w:rPr>
  </w:style>
  <w:style w:type="character" w:styleId="WW8Num7z0" w:customStyle="1">
    <w:name w:val="WW8Num7z0"/>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7z1" w:customStyle="1">
    <w:name w:val="WW8Num7z1"/>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8z0" w:customStyle="1">
    <w:name w:val="WW8Num8z0"/>
    <w:qFormat/>
    <w:rPr>
      <w:rFonts w:ascii="Liberation Serif;Times New Roma" w:hAnsi="Liberation Serif;Times New Roma" w:cs="Times New Roman"/>
      <w:sz w:val="24"/>
      <w:szCs w:val="24"/>
    </w:rPr>
  </w:style>
  <w:style w:type="character" w:styleId="WW8Num9z0" w:customStyle="1">
    <w:name w:val="WW8Num9z0"/>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9z1" w:customStyle="1">
    <w:name w:val="WW8Num9z1"/>
    <w:qFormat/>
    <w:rPr>
      <w:rFonts w:ascii="Liberation Serif;Times New Roma" w:hAnsi="Liberation Serif;Times New Roma" w:cs="Liberation Serif;Times New Roma"/>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9z2" w:customStyle="1">
    <w:name w:val="WW8Num9z2"/>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10z0" w:customStyle="1">
    <w:name w:val="WW8Num10z0"/>
    <w:qFormat/>
    <w:rPr>
      <w:rFonts w:ascii="Liberation Serif;Times New Roma" w:hAnsi="Liberation Serif;Times New Roma" w:cs="Liberation Serif;Times New Roma"/>
      <w:sz w:val="24"/>
      <w:szCs w:val="24"/>
      <w:lang w:bidi="pl-PL"/>
    </w:rPr>
  </w:style>
  <w:style w:type="character" w:styleId="WW8Num11z0" w:customStyle="1">
    <w:name w:val="WW8Num11z0"/>
    <w:qFormat/>
    <w:rPr>
      <w:rFonts w:ascii="Symbol" w:hAnsi="Symbol" w:cs="Symbol"/>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4z2" w:customStyle="1">
    <w:name w:val="WW8Num4z2"/>
    <w:qFormat/>
    <w:rPr>
      <w:b w:val="false"/>
      <w:bCs w:val="false"/>
      <w:i w:val="false"/>
      <w:iCs w:val="false"/>
      <w:caps w:val="false"/>
      <w:smallCaps w:val="false"/>
      <w:strike w:val="false"/>
      <w:dstrike w:val="false"/>
      <w:color w:val="000000"/>
      <w:spacing w:val="0"/>
      <w:w w:val="100"/>
      <w:position w:val="0"/>
      <w:sz w:val="19"/>
      <w:szCs w:val="19"/>
      <w:u w:val="none"/>
      <w:vertAlign w:val="baseline"/>
    </w:rPr>
  </w:style>
  <w:style w:type="character" w:styleId="WW8Num5z2" w:customStyle="1">
    <w:name w:val="WW8Num5z2"/>
    <w:qFormat/>
    <w:rPr>
      <w:rFonts w:ascii="Wingdings" w:hAnsi="Wingdings" w:cs="Wingdings"/>
    </w:rPr>
  </w:style>
  <w:style w:type="character" w:styleId="WW8Num5z3" w:customStyle="1">
    <w:name w:val="WW8Num5z3"/>
    <w:qFormat/>
    <w:rPr>
      <w:rFonts w:ascii="Symbol" w:hAnsi="Symbol" w:cs="Symbol"/>
    </w:rPr>
  </w:style>
  <w:style w:type="character" w:styleId="WW8Num6z2" w:customStyle="1">
    <w:name w:val="WW8Num6z2"/>
    <w:qFormat/>
    <w:rPr>
      <w:rFonts w:ascii="Wingdings" w:hAnsi="Wingdings" w:cs="Wingdings"/>
    </w:rPr>
  </w:style>
  <w:style w:type="character" w:styleId="WW8Num6z3" w:customStyle="1">
    <w:name w:val="WW8Num6z3"/>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8z3" w:customStyle="1">
    <w:name w:val="WW8Num8z3"/>
    <w:qFormat/>
    <w:rPr>
      <w:rFonts w:ascii="Symbol" w:hAnsi="Symbol" w:cs="Symbol"/>
    </w:rPr>
  </w:style>
  <w:style w:type="character" w:styleId="WW8Num9z3" w:customStyle="1">
    <w:name w:val="WW8Num9z3"/>
    <w:qFormat/>
    <w:rPr>
      <w:rFonts w:ascii="Symbol" w:hAnsi="Symbol" w:cs="Symbol"/>
    </w:rPr>
  </w:style>
  <w:style w:type="character" w:styleId="WW8Num10z1" w:customStyle="1">
    <w:name w:val="WW8Num10z1"/>
    <w:qFormat/>
    <w:rPr>
      <w:rFonts w:ascii="Courier New" w:hAnsi="Courier New" w:cs="Courier New"/>
    </w:rPr>
  </w:style>
  <w:style w:type="character" w:styleId="WW8Num10z2" w:customStyle="1">
    <w:name w:val="WW8Num10z2"/>
    <w:qFormat/>
    <w:rPr>
      <w:rFonts w:ascii="Wingdings" w:hAnsi="Wingdings" w:cs="Wingdings"/>
    </w:rPr>
  </w:style>
  <w:style w:type="character" w:styleId="WW8Num10z3" w:customStyle="1">
    <w:name w:val="WW8Num10z3"/>
    <w:qFormat/>
    <w:rPr>
      <w:rFonts w:ascii="Symbol" w:hAnsi="Symbol" w:cs="Symbol"/>
    </w:rPr>
  </w:style>
  <w:style w:type="character" w:styleId="WW8Num11z1" w:customStyle="1">
    <w:name w:val="WW8Num11z1"/>
    <w:qFormat/>
    <w:rPr>
      <w:rFonts w:ascii="Courier New" w:hAnsi="Courier New" w:cs="Courier New"/>
    </w:rPr>
  </w:style>
  <w:style w:type="character" w:styleId="WW8Num11z2" w:customStyle="1">
    <w:name w:val="WW8Num11z2"/>
    <w:qFormat/>
    <w:rPr>
      <w:rFonts w:ascii="Wingdings" w:hAnsi="Wingdings" w:cs="Wingdings"/>
    </w:rPr>
  </w:style>
  <w:style w:type="character" w:styleId="WW8Num11z3" w:customStyle="1">
    <w:name w:val="WW8Num11z3"/>
    <w:qFormat/>
    <w:rPr>
      <w:rFonts w:ascii="Symbol" w:hAnsi="Symbol" w:cs="Symbol"/>
    </w:rPr>
  </w:style>
  <w:style w:type="character" w:styleId="WW8Num12z0" w:customStyle="1">
    <w:name w:val="WW8Num12z0"/>
    <w:qFormat/>
    <w:rPr/>
  </w:style>
  <w:style w:type="character" w:styleId="WW8Num12z1" w:customStyle="1">
    <w:name w:val="WW8Num12z1"/>
    <w:qFormat/>
    <w:rPr>
      <w:rFonts w:ascii="Courier New" w:hAnsi="Courier New" w:cs="Courier New"/>
    </w:rPr>
  </w:style>
  <w:style w:type="character" w:styleId="WW8Num12z2" w:customStyle="1">
    <w:name w:val="WW8Num12z2"/>
    <w:qFormat/>
    <w:rPr>
      <w:rFonts w:ascii="Wingdings" w:hAnsi="Wingdings" w:cs="Wingdings"/>
    </w:rPr>
  </w:style>
  <w:style w:type="character" w:styleId="WW8Num12z3" w:customStyle="1">
    <w:name w:val="WW8Num12z3"/>
    <w:qFormat/>
    <w:rPr>
      <w:rFonts w:ascii="Symbol" w:hAnsi="Symbol" w:cs="Symbol"/>
    </w:rPr>
  </w:style>
  <w:style w:type="character" w:styleId="WW8Num13z0" w:customStyle="1">
    <w:name w:val="WW8Num13z0"/>
    <w:qFormat/>
    <w:rPr/>
  </w:style>
  <w:style w:type="character" w:styleId="WW8Num13z1" w:customStyle="1">
    <w:name w:val="WW8Num13z1"/>
    <w:qFormat/>
    <w:rPr>
      <w:rFonts w:ascii="Courier New" w:hAnsi="Courier New" w:cs="Courier New"/>
    </w:rPr>
  </w:style>
  <w:style w:type="character" w:styleId="WW8Num13z2" w:customStyle="1">
    <w:name w:val="WW8Num13z2"/>
    <w:qFormat/>
    <w:rPr>
      <w:rFonts w:ascii="Wingdings" w:hAnsi="Wingdings" w:cs="Wingdings"/>
    </w:rPr>
  </w:style>
  <w:style w:type="character" w:styleId="WW8Num13z3" w:customStyle="1">
    <w:name w:val="WW8Num13z3"/>
    <w:qFormat/>
    <w:rPr>
      <w:rFonts w:ascii="Symbol" w:hAnsi="Symbol" w:cs="Symbol"/>
    </w:rPr>
  </w:style>
  <w:style w:type="character" w:styleId="WW8Num14z0" w:customStyle="1">
    <w:name w:val="WW8Num14z0"/>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14z1" w:customStyle="1">
    <w:name w:val="WW8Num14z1"/>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15z0" w:customStyle="1">
    <w:name w:val="WW8Num15z0"/>
    <w:qFormat/>
    <w:rPr>
      <w:b w:val="false"/>
      <w:bCs w:val="false"/>
      <w:i w:val="false"/>
      <w:iCs w:val="false"/>
      <w:caps w:val="false"/>
      <w:smallCaps w:val="false"/>
      <w:strike w:val="false"/>
      <w:dstrike w:val="false"/>
      <w:color w:val="000000"/>
      <w:spacing w:val="0"/>
      <w:w w:val="100"/>
      <w:position w:val="0"/>
      <w:sz w:val="23"/>
      <w:szCs w:val="23"/>
      <w:u w:val="none"/>
      <w:vertAlign w:val="baseline"/>
    </w:rPr>
  </w:style>
  <w:style w:type="character" w:styleId="WW8Num15z1" w:customStyle="1">
    <w:name w:val="WW8Num15z1"/>
    <w:qFormat/>
    <w:rPr>
      <w:b w:val="false"/>
      <w:bCs w:val="false"/>
      <w:i w:val="false"/>
      <w:iCs w:val="false"/>
      <w:caps w:val="false"/>
      <w:smallCaps w:val="false"/>
      <w:strike w:val="false"/>
      <w:dstrike w:val="false"/>
      <w:color w:val="000000"/>
      <w:spacing w:val="0"/>
      <w:w w:val="100"/>
      <w:position w:val="0"/>
      <w:sz w:val="23"/>
      <w:szCs w:val="23"/>
      <w:u w:val="none"/>
      <w:vertAlign w:val="baseline"/>
    </w:rPr>
  </w:style>
  <w:style w:type="character" w:styleId="WW8Num16z0" w:customStyle="1">
    <w:name w:val="WW8Num16z0"/>
    <w:qFormat/>
    <w:rPr/>
  </w:style>
  <w:style w:type="character" w:styleId="WW8Num16z1" w:customStyle="1">
    <w:name w:val="WW8Num16z1"/>
    <w:qFormat/>
    <w:rPr>
      <w:rFonts w:ascii="Courier New" w:hAnsi="Courier New" w:cs="Courier New"/>
    </w:rPr>
  </w:style>
  <w:style w:type="character" w:styleId="WW8Num16z2" w:customStyle="1">
    <w:name w:val="WW8Num16z2"/>
    <w:qFormat/>
    <w:rPr>
      <w:rFonts w:ascii="Wingdings" w:hAnsi="Wingdings" w:cs="Wingdings"/>
    </w:rPr>
  </w:style>
  <w:style w:type="character" w:styleId="WW8Num16z3" w:customStyle="1">
    <w:name w:val="WW8Num16z3"/>
    <w:qFormat/>
    <w:rPr>
      <w:rFonts w:ascii="Symbol" w:hAnsi="Symbol" w:cs="Symbol"/>
    </w:rPr>
  </w:style>
  <w:style w:type="character" w:styleId="WW8Num17z0" w:customStyle="1">
    <w:name w:val="WW8Num17z0"/>
    <w:qFormat/>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rFonts w:ascii="Symbol" w:hAnsi="Symbol" w:cs="Symbol"/>
    </w:rPr>
  </w:style>
  <w:style w:type="character" w:styleId="WW8Num18z0" w:customStyle="1">
    <w:name w:val="WW8Num18z0"/>
    <w:qFormat/>
    <w:rPr>
      <w:b w:val="false"/>
      <w:bCs w:val="false"/>
      <w:i w:val="false"/>
      <w:iCs w:val="false"/>
      <w:caps w:val="false"/>
      <w:smallCaps w:val="false"/>
      <w:strike w:val="false"/>
      <w:dstrike w:val="false"/>
      <w:color w:val="000000"/>
      <w:spacing w:val="0"/>
      <w:w w:val="100"/>
      <w:position w:val="0"/>
      <w:sz w:val="23"/>
      <w:szCs w:val="23"/>
      <w:u w:val="none"/>
      <w:vertAlign w:val="baseline"/>
    </w:rPr>
  </w:style>
  <w:style w:type="character" w:styleId="WW8Num18z1" w:customStyle="1">
    <w:name w:val="WW8Num18z1"/>
    <w:qFormat/>
    <w:rPr>
      <w:b w:val="false"/>
      <w:bCs w:val="false"/>
      <w:i w:val="false"/>
      <w:iCs w:val="false"/>
      <w:caps w:val="false"/>
      <w:smallCaps w:val="false"/>
      <w:strike w:val="false"/>
      <w:dstrike w:val="false"/>
      <w:color w:val="000000"/>
      <w:spacing w:val="0"/>
      <w:w w:val="100"/>
      <w:position w:val="0"/>
      <w:sz w:val="23"/>
      <w:szCs w:val="23"/>
      <w:u w:val="none"/>
      <w:vertAlign w:val="baseline"/>
    </w:rPr>
  </w:style>
  <w:style w:type="character" w:styleId="WW8Num19z0" w:customStyle="1">
    <w:name w:val="WW8Num19z0"/>
    <w:qFormat/>
    <w:rPr/>
  </w:style>
  <w:style w:type="character" w:styleId="WW8Num19z1" w:customStyle="1">
    <w:name w:val="WW8Num19z1"/>
    <w:qFormat/>
    <w:rPr>
      <w:rFonts w:ascii="Courier New" w:hAnsi="Courier New" w:cs="Courier New"/>
    </w:rPr>
  </w:style>
  <w:style w:type="character" w:styleId="WW8Num19z2" w:customStyle="1">
    <w:name w:val="WW8Num19z2"/>
    <w:qFormat/>
    <w:rPr>
      <w:rFonts w:ascii="Wingdings" w:hAnsi="Wingdings" w:cs="Wingdings"/>
    </w:rPr>
  </w:style>
  <w:style w:type="character" w:styleId="WW8Num19z3" w:customStyle="1">
    <w:name w:val="WW8Num19z3"/>
    <w:qFormat/>
    <w:rPr>
      <w:rFonts w:ascii="Symbol" w:hAnsi="Symbol" w:cs="Symbol"/>
    </w:rPr>
  </w:style>
  <w:style w:type="character" w:styleId="WW8Num20z0" w:customStyle="1">
    <w:name w:val="WW8Num20z0"/>
    <w:qFormat/>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style>
  <w:style w:type="character" w:styleId="WW8Num21z1" w:customStyle="1">
    <w:name w:val="WW8Num21z1"/>
    <w:qFormat/>
    <w:rPr>
      <w:rFonts w:ascii="Courier New" w:hAnsi="Courier New" w:cs="Courier New"/>
    </w:rPr>
  </w:style>
  <w:style w:type="character" w:styleId="WW8Num21z2" w:customStyle="1">
    <w:name w:val="WW8Num21z2"/>
    <w:qFormat/>
    <w:rPr>
      <w:rFonts w:ascii="Wingdings" w:hAnsi="Wingdings" w:cs="Wingdings"/>
    </w:rPr>
  </w:style>
  <w:style w:type="character" w:styleId="WW8Num21z3" w:customStyle="1">
    <w:name w:val="WW8Num21z3"/>
    <w:qFormat/>
    <w:rPr>
      <w:rFonts w:ascii="Symbol" w:hAnsi="Symbol" w:cs="Symbol"/>
    </w:rPr>
  </w:style>
  <w:style w:type="character" w:styleId="WW8Num22z0" w:customStyle="1">
    <w:name w:val="WW8Num22z0"/>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22z1" w:customStyle="1">
    <w:name w:val="WW8Num22z1"/>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23z0" w:customStyle="1">
    <w:name w:val="WW8Num23z0"/>
    <w:qFormat/>
    <w:rPr/>
  </w:style>
  <w:style w:type="character" w:styleId="WW8Num23z1" w:customStyle="1">
    <w:name w:val="WW8Num23z1"/>
    <w:qFormat/>
    <w:rPr>
      <w:rFonts w:ascii="Courier New" w:hAnsi="Courier New" w:cs="Courier New"/>
    </w:rPr>
  </w:style>
  <w:style w:type="character" w:styleId="WW8Num23z2" w:customStyle="1">
    <w:name w:val="WW8Num23z2"/>
    <w:qFormat/>
    <w:rPr>
      <w:rFonts w:ascii="Wingdings" w:hAnsi="Wingdings" w:cs="Wingdings"/>
    </w:rPr>
  </w:style>
  <w:style w:type="character" w:styleId="WW8Num23z3" w:customStyle="1">
    <w:name w:val="WW8Num23z3"/>
    <w:qFormat/>
    <w:rPr>
      <w:rFonts w:ascii="Symbol" w:hAnsi="Symbol" w:cs="Symbol"/>
    </w:rPr>
  </w:style>
  <w:style w:type="character" w:styleId="WW8Num24z0" w:customStyle="1">
    <w:name w:val="WW8Num24z0"/>
    <w:qFormat/>
    <w:rPr>
      <w:rFonts w:ascii="Times New Roman" w:hAnsi="Times New Roman" w:cs="Times New Roman"/>
      <w:sz w:val="24"/>
      <w:szCs w:val="24"/>
    </w:rPr>
  </w:style>
  <w:style w:type="character" w:styleId="WW8Num24z1" w:customStyle="1">
    <w:name w:val="WW8Num24z1"/>
    <w:qFormat/>
    <w:rPr>
      <w:rFonts w:ascii="Courier New" w:hAnsi="Courier New" w:cs="Courier New"/>
    </w:rPr>
  </w:style>
  <w:style w:type="character" w:styleId="WW8Num24z2" w:customStyle="1">
    <w:name w:val="WW8Num24z2"/>
    <w:qFormat/>
    <w:rPr>
      <w:rFonts w:ascii="Wingdings" w:hAnsi="Wingdings" w:cs="Wingdings"/>
    </w:rPr>
  </w:style>
  <w:style w:type="character" w:styleId="WW8Num24z3" w:customStyle="1">
    <w:name w:val="WW8Num24z3"/>
    <w:qFormat/>
    <w:rPr>
      <w:rFonts w:ascii="Symbol" w:hAnsi="Symbol" w:cs="Symbol"/>
    </w:rPr>
  </w:style>
  <w:style w:type="character" w:styleId="WW8Num25z0" w:customStyle="1">
    <w:name w:val="WW8Num25z0"/>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25z1" w:customStyle="1">
    <w:name w:val="WW8Num25z1"/>
    <w:qFormat/>
    <w:rPr>
      <w:b w:val="false"/>
      <w:bCs w:val="false"/>
      <w:i w:val="false"/>
      <w:iCs w:val="false"/>
      <w:caps w:val="false"/>
      <w:smallCaps w:val="false"/>
      <w:strike w:val="false"/>
      <w:dstrike w:val="false"/>
      <w:color w:val="000000"/>
      <w:spacing w:val="0"/>
      <w:w w:val="100"/>
      <w:position w:val="0"/>
      <w:sz w:val="22"/>
      <w:szCs w:val="22"/>
      <w:u w:val="none"/>
      <w:vertAlign w:val="baseline"/>
    </w:rPr>
  </w:style>
  <w:style w:type="character" w:styleId="WW8Num26z0" w:customStyle="1">
    <w:name w:val="WW8Num26z0"/>
    <w:qFormat/>
    <w:rPr/>
  </w:style>
  <w:style w:type="character" w:styleId="WW8Num26z1" w:customStyle="1">
    <w:name w:val="WW8Num26z1"/>
    <w:qFormat/>
    <w:rPr>
      <w:rFonts w:ascii="Courier New" w:hAnsi="Courier New" w:cs="Courier New"/>
    </w:rPr>
  </w:style>
  <w:style w:type="character" w:styleId="WW8Num26z2" w:customStyle="1">
    <w:name w:val="WW8Num26z2"/>
    <w:qFormat/>
    <w:rPr>
      <w:rFonts w:ascii="Wingdings" w:hAnsi="Wingdings" w:cs="Wingdings"/>
    </w:rPr>
  </w:style>
  <w:style w:type="character" w:styleId="WW8Num26z3" w:customStyle="1">
    <w:name w:val="WW8Num26z3"/>
    <w:qFormat/>
    <w:rPr>
      <w:rFonts w:ascii="Symbol" w:hAnsi="Symbol" w:cs="Symbol"/>
    </w:rPr>
  </w:style>
  <w:style w:type="character" w:styleId="WW8Num27z0" w:customStyle="1">
    <w:name w:val="WW8Num27z0"/>
    <w:qFormat/>
    <w:rPr>
      <w:sz w:val="24"/>
      <w:szCs w:val="24"/>
      <w:lang w:bidi="pl-PL"/>
    </w:rPr>
  </w:style>
  <w:style w:type="character" w:styleId="WW8Num27z1" w:customStyle="1">
    <w:name w:val="WW8Num27z1"/>
    <w:qFormat/>
    <w:rPr>
      <w:rFonts w:ascii="Courier New" w:hAnsi="Courier New" w:cs="Courier New"/>
    </w:rPr>
  </w:style>
  <w:style w:type="character" w:styleId="WW8Num27z2" w:customStyle="1">
    <w:name w:val="WW8Num27z2"/>
    <w:qFormat/>
    <w:rPr>
      <w:rFonts w:ascii="Wingdings" w:hAnsi="Wingdings" w:cs="Wingdings"/>
    </w:rPr>
  </w:style>
  <w:style w:type="character" w:styleId="WW8Num27z3" w:customStyle="1">
    <w:name w:val="WW8Num27z3"/>
    <w:qFormat/>
    <w:rPr>
      <w:rFonts w:ascii="Symbol" w:hAnsi="Symbol" w:cs="Symbol"/>
    </w:rPr>
  </w:style>
  <w:style w:type="character" w:styleId="WW8Num28z0" w:customStyle="1">
    <w:name w:val="WW8Num28z0"/>
    <w:qFormat/>
    <w:rPr/>
  </w:style>
  <w:style w:type="character" w:styleId="WW8Num28z1" w:customStyle="1">
    <w:name w:val="WW8Num28z1"/>
    <w:qFormat/>
    <w:rPr>
      <w:rFonts w:ascii="Courier New" w:hAnsi="Courier New" w:cs="Courier New"/>
    </w:rPr>
  </w:style>
  <w:style w:type="character" w:styleId="WW8Num28z2" w:customStyle="1">
    <w:name w:val="WW8Num28z2"/>
    <w:qFormat/>
    <w:rPr>
      <w:rFonts w:ascii="Wingdings" w:hAnsi="Wingdings" w:cs="Wingdings"/>
    </w:rPr>
  </w:style>
  <w:style w:type="character" w:styleId="WW8Num28z3" w:customStyle="1">
    <w:name w:val="WW8Num28z3"/>
    <w:qFormat/>
    <w:rPr>
      <w:rFonts w:ascii="Symbol" w:hAnsi="Symbol" w:cs="Symbol"/>
    </w:rPr>
  </w:style>
  <w:style w:type="character" w:styleId="Domylnaczcionkaakapitu1" w:customStyle="1">
    <w:name w:val="Domyślna czcionka akapitu1"/>
    <w:qFormat/>
    <w:rPr/>
  </w:style>
  <w:style w:type="character" w:styleId="Numerstrony1" w:customStyle="1">
    <w:name w:val="Numer strony1"/>
    <w:basedOn w:val="Domylnaczcionkaakapitu1"/>
    <w:qFormat/>
    <w:rPr/>
  </w:style>
  <w:style w:type="character" w:styleId="StopkaZnak" w:customStyle="1">
    <w:name w:val="Stopka Znak"/>
    <w:uiPriority w:val="99"/>
    <w:qFormat/>
    <w:rPr/>
  </w:style>
  <w:style w:type="character" w:styleId="TekstdymkaZnak" w:customStyle="1">
    <w:name w:val="Tekst dymka Znak"/>
    <w:qFormat/>
    <w:rPr>
      <w:rFonts w:ascii="Tahoma" w:hAnsi="Tahoma" w:cs="Tahoma"/>
      <w:sz w:val="16"/>
      <w:szCs w:val="16"/>
    </w:rPr>
  </w:style>
  <w:style w:type="character" w:styleId="Teksttreci" w:customStyle="1">
    <w:name w:val="Tekst treści_"/>
    <w:qFormat/>
    <w:rPr>
      <w:sz w:val="22"/>
      <w:szCs w:val="22"/>
      <w:shd w:fill="FFFFFF" w:val="clear"/>
    </w:rPr>
  </w:style>
  <w:style w:type="character" w:styleId="Teksttreci1" w:customStyle="1">
    <w:name w:val="Tekst treści"/>
    <w:qFormat/>
    <w:rPr>
      <w:spacing w:val="0"/>
      <w:sz w:val="22"/>
      <w:szCs w:val="22"/>
      <w:u w:val="single"/>
    </w:rPr>
  </w:style>
  <w:style w:type="character" w:styleId="Teksttreci5" w:customStyle="1">
    <w:name w:val="Tekst treści5"/>
    <w:qFormat/>
    <w:rPr>
      <w:spacing w:val="0"/>
      <w:sz w:val="22"/>
      <w:szCs w:val="22"/>
      <w:u w:val="single"/>
    </w:rPr>
  </w:style>
  <w:style w:type="character" w:styleId="Teksttreci4" w:customStyle="1">
    <w:name w:val="Tekst treści4"/>
    <w:qFormat/>
    <w:rPr>
      <w:spacing w:val="0"/>
      <w:sz w:val="22"/>
      <w:szCs w:val="22"/>
      <w:u w:val="single"/>
    </w:rPr>
  </w:style>
  <w:style w:type="character" w:styleId="Nagwek34" w:customStyle="1">
    <w:name w:val="Nagłówek #3 (4)_"/>
    <w:qFormat/>
    <w:rPr>
      <w:sz w:val="22"/>
      <w:szCs w:val="22"/>
      <w:shd w:fill="FFFFFF" w:val="clear"/>
    </w:rPr>
  </w:style>
  <w:style w:type="character" w:styleId="Teksttreci3" w:customStyle="1">
    <w:name w:val="Tekst treści3"/>
    <w:qFormat/>
    <w:rPr>
      <w:spacing w:val="0"/>
      <w:sz w:val="22"/>
      <w:szCs w:val="22"/>
      <w:u w:val="single"/>
    </w:rPr>
  </w:style>
  <w:style w:type="character" w:styleId="Teksttreci2" w:customStyle="1">
    <w:name w:val="Tekst treści2"/>
    <w:qFormat/>
    <w:rPr>
      <w:spacing w:val="0"/>
      <w:sz w:val="22"/>
      <w:szCs w:val="22"/>
      <w:u w:val="single"/>
    </w:rPr>
  </w:style>
  <w:style w:type="character" w:styleId="Teksttreci30" w:customStyle="1">
    <w:name w:val="Tekst treści30"/>
    <w:qFormat/>
    <w:rPr>
      <w:rFonts w:ascii="Calibri" w:hAnsi="Calibri" w:cs="Calibri"/>
      <w:spacing w:val="0"/>
      <w:sz w:val="20"/>
      <w:szCs w:val="20"/>
      <w:shd w:fill="FFFFFF" w:val="clear"/>
    </w:rPr>
  </w:style>
  <w:style w:type="character" w:styleId="Teksttreci29" w:customStyle="1">
    <w:name w:val="Tekst treści29"/>
    <w:qFormat/>
    <w:rPr>
      <w:rFonts w:ascii="Calibri" w:hAnsi="Calibri" w:cs="Calibri"/>
      <w:spacing w:val="0"/>
      <w:sz w:val="20"/>
      <w:szCs w:val="20"/>
      <w:shd w:fill="FFFFFF" w:val="clear"/>
      <w:lang w:val="pl-PL" w:eastAsia="pl-PL"/>
    </w:rPr>
  </w:style>
  <w:style w:type="character" w:styleId="WW8Num62z0" w:customStyle="1">
    <w:name w:val="WW8Num62z0"/>
    <w:qFormat/>
    <w:rPr>
      <w:rFonts w:ascii="Symbol" w:hAnsi="Symbol" w:cs="Symbol"/>
    </w:rPr>
  </w:style>
  <w:style w:type="character" w:styleId="WW8Num62z1" w:customStyle="1">
    <w:name w:val="WW8Num62z1"/>
    <w:qFormat/>
    <w:rPr>
      <w:rFonts w:ascii="Courier New" w:hAnsi="Courier New" w:cs="Courier New"/>
    </w:rPr>
  </w:style>
  <w:style w:type="character" w:styleId="WW8Num62z2" w:customStyle="1">
    <w:name w:val="WW8Num62z2"/>
    <w:qFormat/>
    <w:rPr>
      <w:rFonts w:ascii="Wingdings" w:hAnsi="Wingdings" w:cs="Wingdings"/>
    </w:rPr>
  </w:style>
  <w:style w:type="character" w:styleId="WW8Num68z0" w:customStyle="1">
    <w:name w:val="WW8Num68z0"/>
    <w:qFormat/>
    <w:rPr>
      <w:rFonts w:ascii="Symbol" w:hAnsi="Symbol" w:cs="Symbol"/>
    </w:rPr>
  </w:style>
  <w:style w:type="character" w:styleId="WW8Num68z1" w:customStyle="1">
    <w:name w:val="WW8Num68z1"/>
    <w:qFormat/>
    <w:rPr>
      <w:rFonts w:ascii="Courier New" w:hAnsi="Courier New" w:cs="Courier New"/>
    </w:rPr>
  </w:style>
  <w:style w:type="character" w:styleId="WW8Num68z2" w:customStyle="1">
    <w:name w:val="WW8Num68z2"/>
    <w:qFormat/>
    <w:rPr>
      <w:rFonts w:ascii="Wingdings" w:hAnsi="Wingdings" w:cs="Wingdings"/>
    </w:rPr>
  </w:style>
  <w:style w:type="character" w:styleId="Znakiwypunktowaniauser" w:customStyle="1">
    <w:name w:val="Znaki wypunktowania (user)"/>
    <w:qFormat/>
    <w:rPr>
      <w:rFonts w:ascii="OpenSymbol" w:hAnsi="OpenSymbol" w:eastAsia="OpenSymbol" w:cs="OpenSymbol"/>
    </w:rPr>
  </w:style>
  <w:style w:type="character" w:styleId="FontStyle24" w:customStyle="1">
    <w:name w:val="Font Style24"/>
    <w:qFormat/>
    <w:rPr>
      <w:rFonts w:ascii="Arial Narrow" w:hAnsi="Arial Narrow" w:cs="Arial Narrow"/>
      <w:b/>
      <w:bCs/>
      <w:i/>
      <w:iCs/>
      <w:sz w:val="22"/>
      <w:szCs w:val="22"/>
    </w:rPr>
  </w:style>
  <w:style w:type="character" w:styleId="Znakiwypunktowania" w:customStyle="1">
    <w:name w:val="Znaki wypunktowania"/>
    <w:qFormat/>
    <w:rPr>
      <w:rFonts w:ascii="OpenSymbol" w:hAnsi="OpenSymbol" w:eastAsia="OpenSymbol" w:cs="OpenSymbol"/>
    </w:rPr>
  </w:style>
  <w:style w:type="character" w:styleId="Znakinumeracjiuser" w:customStyle="1">
    <w:name w:val="Znaki numeracji (user)"/>
    <w:qFormat/>
    <w:rPr/>
  </w:style>
  <w:style w:type="character" w:styleId="Strong">
    <w:name w:val="Strong"/>
    <w:qFormat/>
    <w:rPr>
      <w:b/>
      <w:bCs/>
    </w:rPr>
  </w:style>
  <w:style w:type="paragraph" w:styleId="Nagwek" w:customStyle="1">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u w:val="single"/>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customStyle="1">
    <w:name w:val="Indeks"/>
    <w:basedOn w:val="Normal"/>
    <w:qFormat/>
    <w:pPr>
      <w:suppressLineNumbers/>
    </w:pPr>
    <w:rPr>
      <w:rFonts w:cs="Arial"/>
    </w:rPr>
  </w:style>
  <w:style w:type="paragraph" w:styleId="Nagwekuser">
    <w:name w:val="Nagłówek (user)"/>
    <w:basedOn w:val="Normal"/>
    <w:next w:val="BodyText"/>
    <w:qFormat/>
    <w:pPr>
      <w:keepNext w:val="true"/>
      <w:spacing w:before="240" w:after="120"/>
    </w:pPr>
    <w:rPr>
      <w:rFonts w:ascii="Liberation Sans" w:hAnsi="Liberation Sans" w:eastAsia="Microsoft YaHei" w:cs="Arial"/>
      <w:sz w:val="28"/>
      <w:szCs w:val="28"/>
    </w:rPr>
  </w:style>
  <w:style w:type="paragraph" w:styleId="Indeksuser" w:customStyle="1">
    <w:name w:val="Indeks (user)"/>
    <w:basedOn w:val="Normal"/>
    <w:qFormat/>
    <w:pPr>
      <w:suppressLineNumbers/>
    </w:pPr>
    <w:rPr>
      <w:rFonts w:cs="Lucida Sans"/>
    </w:rPr>
  </w:style>
  <w:style w:type="paragraph" w:styleId="Gwkaistopka" w:customStyle="1">
    <w:name w:val="Główka i stopka"/>
    <w:basedOn w:val="Normal"/>
    <w:qFormat/>
    <w:pPr/>
    <w:rPr/>
  </w:style>
  <w:style w:type="paragraph" w:styleId="Gwkaistopkauser" w:customStyle="1">
    <w:name w:val="Główka i stopka (user)"/>
    <w:basedOn w:val="Normal"/>
    <w:qFormat/>
    <w:pPr>
      <w:suppressLineNumbers/>
      <w:tabs>
        <w:tab w:val="clear" w:pos="708"/>
        <w:tab w:val="center" w:pos="4819" w:leader="none"/>
        <w:tab w:val="right" w:pos="9638" w:leader="none"/>
      </w:tabs>
    </w:pPr>
    <w:rPr/>
  </w:style>
  <w:style w:type="paragraph" w:styleId="Header">
    <w:name w:val="header"/>
    <w:basedOn w:val="Normal"/>
    <w:next w:val="BodyText"/>
    <w:pPr>
      <w:tabs>
        <w:tab w:val="clear" w:pos="708"/>
        <w:tab w:val="center" w:pos="4536" w:leader="none"/>
        <w:tab w:val="right" w:pos="9072" w:leader="none"/>
      </w:tabs>
    </w:pPr>
    <w:rPr/>
  </w:style>
  <w:style w:type="paragraph" w:styleId="Caption1" w:customStyle="1">
    <w:name w:val="Caption1"/>
    <w:basedOn w:val="Normal"/>
    <w:qFormat/>
    <w:pPr>
      <w:suppressLineNumbers/>
      <w:spacing w:before="120" w:after="120"/>
    </w:pPr>
    <w:rPr>
      <w:rFonts w:cs="Lucida Sans"/>
      <w:i/>
      <w:iCs/>
      <w:sz w:val="24"/>
      <w:szCs w:val="24"/>
    </w:rPr>
  </w:style>
  <w:style w:type="paragraph" w:styleId="Caption11" w:customStyle="1">
    <w:name w:val="Caption11"/>
    <w:basedOn w:val="Normal"/>
    <w:qFormat/>
    <w:pPr>
      <w:suppressLineNumbers/>
      <w:spacing w:before="120" w:after="120"/>
    </w:pPr>
    <w:rPr>
      <w:rFonts w:cs="Lucida Sans"/>
      <w:i/>
      <w:iCs/>
      <w:sz w:val="24"/>
      <w:szCs w:val="24"/>
    </w:rPr>
  </w:style>
  <w:style w:type="paragraph" w:styleId="Nagwek1" w:customStyle="1">
    <w:name w:val="Nagłówek1"/>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Indent">
    <w:name w:val="Body Text Indent"/>
    <w:basedOn w:val="Normal"/>
    <w:pPr>
      <w:spacing w:lineRule="auto" w:line="360"/>
      <w:ind w:firstLine="567"/>
      <w:jc w:val="both"/>
    </w:pPr>
    <w:rPr>
      <w:rFonts w:ascii="Arial" w:hAnsi="Arial" w:cs="Arial"/>
      <w:sz w:val="22"/>
    </w:rPr>
  </w:style>
  <w:style w:type="paragraph" w:styleId="Tekstpodstawowywcity21" w:customStyle="1">
    <w:name w:val="Tekst podstawowy wcięty 21"/>
    <w:basedOn w:val="Normal"/>
    <w:qFormat/>
    <w:pPr>
      <w:tabs>
        <w:tab w:val="clear" w:pos="708"/>
        <w:tab w:val="left" w:pos="1440" w:leader="none"/>
      </w:tabs>
      <w:ind w:firstLine="567"/>
      <w:jc w:val="both"/>
    </w:pPr>
    <w:rPr>
      <w:rFonts w:ascii="Tahoma" w:hAnsi="Tahoma" w:cs="Tahoma"/>
    </w:rPr>
  </w:style>
  <w:style w:type="paragraph" w:styleId="Tekstpodstawowywcity31" w:customStyle="1">
    <w:name w:val="Tekst podstawowy wcięty 31"/>
    <w:basedOn w:val="Normal"/>
    <w:qFormat/>
    <w:pPr>
      <w:ind w:start="1068"/>
      <w:jc w:val="both"/>
    </w:pPr>
    <w:rPr>
      <w:rFonts w:ascii="Arial" w:hAnsi="Arial" w:cs="Arial"/>
      <w:sz w:val="22"/>
    </w:rPr>
  </w:style>
  <w:style w:type="paragraph" w:styleId="Tekstpodstawowy21" w:customStyle="1">
    <w:name w:val="Tekst podstawowy 21"/>
    <w:basedOn w:val="Normal"/>
    <w:qFormat/>
    <w:pPr>
      <w:jc w:val="both"/>
    </w:pPr>
    <w:rPr>
      <w:rFonts w:ascii="Arial" w:hAnsi="Arial" w:cs="Arial"/>
      <w:sz w:val="22"/>
    </w:rPr>
  </w:style>
  <w:style w:type="paragraph" w:styleId="Footer">
    <w:name w:val="footer"/>
    <w:basedOn w:val="Normal"/>
    <w:uiPriority w:val="99"/>
    <w:pPr>
      <w:tabs>
        <w:tab w:val="clear" w:pos="708"/>
        <w:tab w:val="center" w:pos="4536" w:leader="none"/>
        <w:tab w:val="right" w:pos="9072" w:leader="none"/>
      </w:tabs>
    </w:pPr>
    <w:rPr/>
  </w:style>
  <w:style w:type="paragraph" w:styleId="BalloonText">
    <w:name w:val="Balloon Text"/>
    <w:basedOn w:val="Normal"/>
    <w:qFormat/>
    <w:pPr/>
    <w:rPr>
      <w:rFonts w:ascii="Tahoma" w:hAnsi="Tahoma" w:cs="Tahoma"/>
      <w:sz w:val="16"/>
      <w:szCs w:val="16"/>
    </w:rPr>
  </w:style>
  <w:style w:type="paragraph" w:styleId="Style13" w:customStyle="1">
    <w:name w:val="Style13"/>
    <w:basedOn w:val="Normal"/>
    <w:qFormat/>
    <w:pPr>
      <w:widowControl w:val="false"/>
      <w:spacing w:lineRule="exact" w:line="296"/>
      <w:jc w:val="both"/>
    </w:pPr>
    <w:rPr>
      <w:rFonts w:ascii="Arial Narrow" w:hAnsi="Arial Narrow" w:cs="Arial Narrow"/>
      <w:sz w:val="24"/>
      <w:szCs w:val="24"/>
    </w:rPr>
  </w:style>
  <w:style w:type="paragraph" w:styleId="Teksttreci11" w:customStyle="1">
    <w:name w:val="Tekst treści1"/>
    <w:basedOn w:val="Normal"/>
    <w:qFormat/>
    <w:pPr>
      <w:shd w:val="clear" w:color="auto" w:fill="FFFFFF"/>
      <w:spacing w:lineRule="atLeast" w:line="240"/>
      <w:ind w:hanging="380"/>
    </w:pPr>
    <w:rPr>
      <w:sz w:val="22"/>
      <w:szCs w:val="22"/>
    </w:rPr>
  </w:style>
  <w:style w:type="paragraph" w:styleId="Nagwek341" w:customStyle="1">
    <w:name w:val="Nagłówek #3 (4)"/>
    <w:basedOn w:val="Normal"/>
    <w:qFormat/>
    <w:pPr>
      <w:shd w:val="clear" w:color="auto" w:fill="FFFFFF"/>
      <w:spacing w:lineRule="exact" w:line="293"/>
      <w:outlineLvl w:val="2"/>
    </w:pPr>
    <w:rPr>
      <w:sz w:val="22"/>
      <w:szCs w:val="22"/>
    </w:rPr>
  </w:style>
  <w:style w:type="paragraph" w:styleId="NormalWeb">
    <w:name w:val="Normal (Web)"/>
    <w:basedOn w:val="Normal"/>
    <w:qFormat/>
    <w:pPr>
      <w:spacing w:lineRule="auto" w:line="288"/>
      <w:ind w:firstLine="396" w:start="79" w:end="79"/>
      <w:jc w:val="both"/>
    </w:pPr>
    <w:rPr>
      <w:rFonts w:ascii="Arial" w:hAnsi="Arial" w:cs="Arial"/>
      <w:lang w:val="en-US" w:bidi="en-US"/>
    </w:rPr>
  </w:style>
  <w:style w:type="paragraph" w:styleId="Standardowy1" w:customStyle="1">
    <w:name w:val="Standardowy1"/>
    <w:basedOn w:val="Normal"/>
    <w:qFormat/>
    <w:pPr>
      <w:spacing w:lineRule="atLeast" w:line="270" w:before="0" w:after="120"/>
      <w:jc w:val="both"/>
    </w:pPr>
    <w:rPr>
      <w:color w:val="000000"/>
      <w:sz w:val="23"/>
    </w:rPr>
  </w:style>
  <w:style w:type="paragraph" w:styleId="Default" w:customStyle="1">
    <w:name w:val="Default"/>
    <w:qFormat/>
    <w:pPr>
      <w:widowControl w:val="false"/>
      <w:suppressAutoHyphens w:val="true"/>
      <w:bidi w:val="0"/>
      <w:spacing w:before="0" w:after="0"/>
      <w:jc w:val="start"/>
    </w:pPr>
    <w:rPr>
      <w:rFonts w:ascii="Calibri" w:hAnsi="Calibri" w:eastAsia="NSimSun" w:cs="Lucida Sans"/>
      <w:color w:val="000000"/>
      <w:kern w:val="0"/>
      <w:sz w:val="24"/>
      <w:szCs w:val="24"/>
      <w:lang w:val="pl-PL" w:eastAsia="zh-CN" w:bidi="hi-IN"/>
    </w:rPr>
  </w:style>
  <w:style w:type="paragraph" w:styleId="Zawartotabeliuser" w:customStyle="1">
    <w:name w:val="Zawartość tabeli (user)"/>
    <w:basedOn w:val="Normal"/>
    <w:qFormat/>
    <w:pPr>
      <w:widowControl w:val="false"/>
      <w:suppressLineNumbers/>
    </w:pPr>
    <w:rPr/>
  </w:style>
  <w:style w:type="paragraph" w:styleId="Nagwektabeliuser" w:customStyle="1">
    <w:name w:val="Nagłówek tabeli (user)"/>
    <w:basedOn w:val="Zawartotabeliuser"/>
    <w:qFormat/>
    <w:pPr>
      <w:jc w:val="center"/>
    </w:pPr>
    <w:rPr>
      <w:b/>
      <w:bCs/>
    </w:rPr>
  </w:style>
  <w:style w:type="paragraph" w:styleId="ListParagraph">
    <w:name w:val="List Paragraph"/>
    <w:basedOn w:val="Normal"/>
    <w:uiPriority w:val="34"/>
    <w:qFormat/>
    <w:rsid w:val="00ed309b"/>
    <w:pPr>
      <w:spacing w:before="0" w:after="0"/>
      <w:ind w:start="720"/>
      <w:contextualSpacing/>
    </w:pPr>
    <w:rPr/>
  </w:style>
  <w:style w:type="paragraph" w:styleId="Legenda2" w:customStyle="1">
    <w:name w:val="Legenda2"/>
    <w:basedOn w:val="Normal"/>
    <w:next w:val="Normal"/>
    <w:qFormat/>
    <w:pPr/>
    <w:rPr>
      <w:bCs/>
      <w:sz w:val="24"/>
      <w:szCs w:val="18"/>
    </w:rPr>
  </w:style>
  <w:style w:type="numbering" w:styleId="Bezlisty" w:customStyle="1">
    <w:name w:val="Bez listy"/>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537</TotalTime>
  <Application>LibreOffice/26.2.4.2$Windows_X86_64 LibreOffice_project/0229ac93fcf0d7cbc6376066c6f35021cef002dc</Application>
  <AppVersion>15.0000</AppVersion>
  <Pages>8</Pages>
  <Words>3062</Words>
  <Characters>18706</Characters>
  <CharactersWithSpaces>21382</CharactersWithSpaces>
  <Paragraphs>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2026-03-10T12:54:00Z</dcterms:created>
  <dc:creator>Kasia</dc:creator>
  <dc:description/>
  <dc:language>pl-PL</dc:language>
  <cp:lastModifiedBy/>
  <cp:lastPrinted>2026-07-28T08:07:02Z</cp:lastPrinted>
  <dcterms:modified xsi:type="dcterms:W3CDTF">2026-07-29T08:01:20Z</dcterms:modified>
  <cp:revision>26</cp:revision>
  <dc:subject/>
  <dc:title>Białystok, dnia …… kwietnia 2018 r</dc:title>
</cp:coreProperties>
</file>

<file path=docProps/custom.xml><?xml version="1.0" encoding="utf-8"?>
<Properties xmlns="http://schemas.openxmlformats.org/officeDocument/2006/custom-properties" xmlns:vt="http://schemas.openxmlformats.org/officeDocument/2006/docPropsVTypes"/>
</file>